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204"/>
      </w:tblGrid>
      <w:tr w:rsidR="00683722" w:rsidRPr="003940DA" w14:paraId="1EC1355F" w14:textId="77777777" w:rsidTr="001B4B10">
        <w:tc>
          <w:tcPr>
            <w:tcW w:w="3544" w:type="dxa"/>
          </w:tcPr>
          <w:p w14:paraId="7FA4C4D0" w14:textId="77777777" w:rsidR="00683722" w:rsidRPr="003940DA" w:rsidRDefault="00683722" w:rsidP="001B4B10"/>
        </w:tc>
        <w:tc>
          <w:tcPr>
            <w:tcW w:w="6204" w:type="dxa"/>
          </w:tcPr>
          <w:p w14:paraId="6F1F4C5B" w14:textId="77777777" w:rsidR="00683722" w:rsidRPr="003940DA" w:rsidRDefault="00683722" w:rsidP="001B4B10">
            <w:pPr>
              <w:jc w:val="right"/>
            </w:pPr>
          </w:p>
        </w:tc>
      </w:tr>
    </w:tbl>
    <w:p w14:paraId="75295028" w14:textId="77777777" w:rsidR="00683722" w:rsidRPr="008F00CC" w:rsidRDefault="00683722" w:rsidP="00683722">
      <w:pPr>
        <w:pStyle w:val="Heading2"/>
        <w:rPr>
          <w:rFonts w:asciiTheme="minorHAnsi" w:hAnsiTheme="minorHAnsi" w:cstheme="minorHAnsi"/>
          <w:b/>
          <w:bCs/>
          <w:color w:val="000000" w:themeColor="text1"/>
          <w:sz w:val="24"/>
          <w:szCs w:val="24"/>
        </w:rPr>
      </w:pPr>
      <w:r w:rsidRPr="008F00CC">
        <w:rPr>
          <w:rFonts w:asciiTheme="minorHAnsi" w:hAnsiTheme="minorHAnsi" w:cstheme="minorHAnsi"/>
          <w:b/>
          <w:bCs/>
          <w:color w:val="000000" w:themeColor="text1"/>
          <w:sz w:val="24"/>
          <w:szCs w:val="24"/>
        </w:rPr>
        <w:t>DOCUMENT PROPERTIES</w:t>
      </w:r>
    </w:p>
    <w:p w14:paraId="4CF4F5C8" w14:textId="77777777" w:rsidR="00683722" w:rsidRDefault="00683722" w:rsidP="00683722">
      <w:pPr>
        <w:pStyle w:val="TRONormal"/>
        <w:rPr>
          <w:b/>
        </w:rPr>
      </w:pPr>
    </w:p>
    <w:p w14:paraId="6C85DF2F" w14:textId="77777777" w:rsidR="00683722" w:rsidRPr="001D48C3" w:rsidRDefault="00683722" w:rsidP="00683722">
      <w:pPr>
        <w:pStyle w:val="TRONormal"/>
        <w:rPr>
          <w:b/>
        </w:rPr>
      </w:pPr>
      <w:r w:rsidRPr="001D48C3">
        <w:rPr>
          <w:b/>
        </w:rPr>
        <w:t>Schedule of Amendments</w:t>
      </w:r>
    </w:p>
    <w:tbl>
      <w:tblPr>
        <w:tblStyle w:val="TableGrid"/>
        <w:tblW w:w="0" w:type="auto"/>
        <w:tblLook w:val="04A0" w:firstRow="1" w:lastRow="0" w:firstColumn="1" w:lastColumn="0" w:noHBand="0" w:noVBand="1"/>
      </w:tblPr>
      <w:tblGrid>
        <w:gridCol w:w="6670"/>
        <w:gridCol w:w="2346"/>
      </w:tblGrid>
      <w:tr w:rsidR="00683722" w:rsidRPr="008F00CC" w14:paraId="51B5E5AE" w14:textId="77777777" w:rsidTr="001B4B10">
        <w:tc>
          <w:tcPr>
            <w:tcW w:w="9855" w:type="dxa"/>
            <w:gridSpan w:val="2"/>
          </w:tcPr>
          <w:p w14:paraId="66CFECA2" w14:textId="701DC912" w:rsidR="00683722" w:rsidRPr="008F00CC" w:rsidRDefault="00683722" w:rsidP="001B4B10">
            <w:pPr>
              <w:rPr>
                <w:rFonts w:asciiTheme="minorHAnsi" w:hAnsiTheme="minorHAnsi" w:cstheme="minorHAnsi"/>
                <w:b/>
                <w:sz w:val="24"/>
                <w:szCs w:val="24"/>
              </w:rPr>
            </w:pPr>
            <w:r w:rsidRPr="008F00CC">
              <w:rPr>
                <w:rFonts w:asciiTheme="minorHAnsi" w:hAnsiTheme="minorHAnsi" w:cstheme="minorHAnsi"/>
                <w:b/>
                <w:sz w:val="24"/>
                <w:szCs w:val="24"/>
              </w:rPr>
              <w:t>New features (insertions)</w:t>
            </w:r>
            <w:r>
              <w:rPr>
                <w:rFonts w:asciiTheme="minorHAnsi" w:hAnsiTheme="minorHAnsi" w:cstheme="minorHAnsi"/>
                <w:b/>
                <w:sz w:val="24"/>
                <w:szCs w:val="24"/>
              </w:rPr>
              <w:t xml:space="preserve"> New document</w:t>
            </w:r>
          </w:p>
        </w:tc>
      </w:tr>
      <w:tr w:rsidR="00683722" w:rsidRPr="008F00CC" w14:paraId="40CD6B64" w14:textId="77777777" w:rsidTr="001B4B10">
        <w:tc>
          <w:tcPr>
            <w:tcW w:w="7338" w:type="dxa"/>
          </w:tcPr>
          <w:p w14:paraId="4A393474" w14:textId="77777777" w:rsidR="00683722" w:rsidRPr="008F00CC" w:rsidRDefault="00683722" w:rsidP="001B4B10">
            <w:pPr>
              <w:rPr>
                <w:rFonts w:asciiTheme="minorHAnsi" w:hAnsiTheme="minorHAnsi" w:cstheme="minorHAnsi"/>
                <w:sz w:val="24"/>
                <w:szCs w:val="24"/>
              </w:rPr>
            </w:pPr>
          </w:p>
        </w:tc>
        <w:tc>
          <w:tcPr>
            <w:tcW w:w="2517" w:type="dxa"/>
          </w:tcPr>
          <w:p w14:paraId="0F9E23BB" w14:textId="018D5A57" w:rsidR="00683722" w:rsidRPr="008F00CC" w:rsidRDefault="00683722" w:rsidP="001B4B10">
            <w:pPr>
              <w:rPr>
                <w:rFonts w:asciiTheme="minorHAnsi" w:hAnsiTheme="minorHAnsi" w:cstheme="minorHAnsi"/>
                <w:sz w:val="24"/>
                <w:szCs w:val="24"/>
              </w:rPr>
            </w:pPr>
            <w:r w:rsidRPr="008F00CC">
              <w:rPr>
                <w:rFonts w:asciiTheme="minorHAnsi" w:hAnsiTheme="minorHAnsi" w:cstheme="minorHAnsi"/>
                <w:sz w:val="24"/>
                <w:szCs w:val="24"/>
              </w:rPr>
              <w:t>Date</w:t>
            </w:r>
            <w:r>
              <w:rPr>
                <w:rFonts w:asciiTheme="minorHAnsi" w:hAnsiTheme="minorHAnsi" w:cstheme="minorHAnsi"/>
                <w:sz w:val="24"/>
                <w:szCs w:val="24"/>
              </w:rPr>
              <w:t xml:space="preserve"> 4 June 2024</w:t>
            </w:r>
          </w:p>
        </w:tc>
      </w:tr>
      <w:tr w:rsidR="00683722" w:rsidRPr="008F00CC" w14:paraId="72089DA3" w14:textId="77777777" w:rsidTr="001B4B10">
        <w:tc>
          <w:tcPr>
            <w:tcW w:w="9855" w:type="dxa"/>
            <w:gridSpan w:val="2"/>
          </w:tcPr>
          <w:p w14:paraId="239DA67C" w14:textId="77777777" w:rsidR="00683722" w:rsidRPr="008F00CC" w:rsidRDefault="00683722" w:rsidP="001B4B10">
            <w:pPr>
              <w:rPr>
                <w:rFonts w:asciiTheme="minorHAnsi" w:hAnsiTheme="minorHAnsi" w:cstheme="minorHAnsi"/>
                <w:b/>
                <w:sz w:val="24"/>
                <w:szCs w:val="24"/>
              </w:rPr>
            </w:pPr>
            <w:r w:rsidRPr="008F00CC">
              <w:rPr>
                <w:rFonts w:asciiTheme="minorHAnsi" w:hAnsiTheme="minorHAnsi" w:cstheme="minorHAnsi"/>
                <w:b/>
                <w:sz w:val="24"/>
                <w:szCs w:val="24"/>
              </w:rPr>
              <w:t>Enhancements (changes)</w:t>
            </w:r>
          </w:p>
        </w:tc>
      </w:tr>
      <w:tr w:rsidR="00683722" w:rsidRPr="008F00CC" w14:paraId="57B77F5A" w14:textId="77777777" w:rsidTr="001B4B10">
        <w:tc>
          <w:tcPr>
            <w:tcW w:w="7338" w:type="dxa"/>
          </w:tcPr>
          <w:p w14:paraId="4F947811" w14:textId="77777777" w:rsidR="00683722" w:rsidRPr="008F00CC" w:rsidRDefault="00683722" w:rsidP="001B4B10">
            <w:pPr>
              <w:rPr>
                <w:rFonts w:asciiTheme="minorHAnsi" w:hAnsiTheme="minorHAnsi" w:cstheme="minorHAnsi"/>
                <w:sz w:val="24"/>
                <w:szCs w:val="24"/>
              </w:rPr>
            </w:pPr>
          </w:p>
        </w:tc>
        <w:tc>
          <w:tcPr>
            <w:tcW w:w="2517" w:type="dxa"/>
          </w:tcPr>
          <w:p w14:paraId="0DCEF5C7" w14:textId="77777777" w:rsidR="00683722" w:rsidRPr="008F00CC" w:rsidRDefault="00683722" w:rsidP="001B4B10">
            <w:pPr>
              <w:rPr>
                <w:rFonts w:asciiTheme="minorHAnsi" w:hAnsiTheme="minorHAnsi" w:cstheme="minorHAnsi"/>
                <w:sz w:val="24"/>
                <w:szCs w:val="24"/>
              </w:rPr>
            </w:pPr>
            <w:r w:rsidRPr="008F00CC">
              <w:rPr>
                <w:rFonts w:asciiTheme="minorHAnsi" w:hAnsiTheme="minorHAnsi" w:cstheme="minorHAnsi"/>
                <w:sz w:val="24"/>
                <w:szCs w:val="24"/>
              </w:rPr>
              <w:t>Date</w:t>
            </w:r>
          </w:p>
        </w:tc>
      </w:tr>
      <w:tr w:rsidR="00683722" w:rsidRPr="008F00CC" w14:paraId="742CDB5F" w14:textId="77777777" w:rsidTr="001B4B10">
        <w:tc>
          <w:tcPr>
            <w:tcW w:w="9855" w:type="dxa"/>
            <w:gridSpan w:val="2"/>
          </w:tcPr>
          <w:p w14:paraId="359D720B" w14:textId="77777777" w:rsidR="00683722" w:rsidRPr="008F00CC" w:rsidRDefault="00683722" w:rsidP="001B4B10">
            <w:pPr>
              <w:rPr>
                <w:rFonts w:asciiTheme="minorHAnsi" w:hAnsiTheme="minorHAnsi" w:cstheme="minorHAnsi"/>
                <w:b/>
                <w:sz w:val="24"/>
                <w:szCs w:val="24"/>
              </w:rPr>
            </w:pPr>
            <w:r w:rsidRPr="008F00CC">
              <w:rPr>
                <w:rFonts w:asciiTheme="minorHAnsi" w:hAnsiTheme="minorHAnsi" w:cstheme="minorHAnsi"/>
                <w:b/>
                <w:sz w:val="24"/>
                <w:szCs w:val="24"/>
              </w:rPr>
              <w:t>Deletions</w:t>
            </w:r>
          </w:p>
        </w:tc>
      </w:tr>
      <w:tr w:rsidR="00683722" w:rsidRPr="008F00CC" w14:paraId="78996597" w14:textId="77777777" w:rsidTr="001B4B10">
        <w:tc>
          <w:tcPr>
            <w:tcW w:w="7338" w:type="dxa"/>
          </w:tcPr>
          <w:p w14:paraId="77E8C15F" w14:textId="77777777" w:rsidR="00683722" w:rsidRPr="008F00CC" w:rsidRDefault="00683722" w:rsidP="001B4B10">
            <w:pPr>
              <w:rPr>
                <w:rFonts w:asciiTheme="minorHAnsi" w:hAnsiTheme="minorHAnsi" w:cstheme="minorHAnsi"/>
                <w:sz w:val="24"/>
                <w:szCs w:val="24"/>
              </w:rPr>
            </w:pPr>
          </w:p>
        </w:tc>
        <w:tc>
          <w:tcPr>
            <w:tcW w:w="2517" w:type="dxa"/>
          </w:tcPr>
          <w:p w14:paraId="374F4F13" w14:textId="77777777" w:rsidR="00683722" w:rsidRPr="008F00CC" w:rsidRDefault="00683722" w:rsidP="001B4B10">
            <w:pPr>
              <w:rPr>
                <w:rFonts w:asciiTheme="minorHAnsi" w:hAnsiTheme="minorHAnsi" w:cstheme="minorHAnsi"/>
                <w:sz w:val="24"/>
                <w:szCs w:val="24"/>
              </w:rPr>
            </w:pPr>
            <w:r w:rsidRPr="008F00CC">
              <w:rPr>
                <w:rFonts w:asciiTheme="minorHAnsi" w:hAnsiTheme="minorHAnsi" w:cstheme="minorHAnsi"/>
                <w:sz w:val="24"/>
                <w:szCs w:val="24"/>
              </w:rPr>
              <w:t>Date</w:t>
            </w:r>
          </w:p>
        </w:tc>
      </w:tr>
    </w:tbl>
    <w:p w14:paraId="2FDB3BF5" w14:textId="77777777" w:rsidR="00683722" w:rsidRDefault="00683722" w:rsidP="00683722">
      <w:pPr>
        <w:pStyle w:val="TRONormal"/>
        <w:rPr>
          <w:b/>
        </w:rPr>
      </w:pPr>
    </w:p>
    <w:p w14:paraId="0897E147" w14:textId="77777777" w:rsidR="00683722" w:rsidRPr="008F00CC" w:rsidRDefault="00683722" w:rsidP="00683722">
      <w:pPr>
        <w:pStyle w:val="TRONormal"/>
        <w:rPr>
          <w:b/>
        </w:rPr>
      </w:pPr>
      <w:r w:rsidRPr="008F00CC">
        <w:rPr>
          <w:b/>
        </w:rPr>
        <w:t>Amendment History</w:t>
      </w:r>
    </w:p>
    <w:tbl>
      <w:tblPr>
        <w:tblStyle w:val="TableGrid"/>
        <w:tblW w:w="0" w:type="auto"/>
        <w:tblLook w:val="04A0" w:firstRow="1" w:lastRow="0" w:firstColumn="1" w:lastColumn="0" w:noHBand="0" w:noVBand="1"/>
      </w:tblPr>
      <w:tblGrid>
        <w:gridCol w:w="3017"/>
        <w:gridCol w:w="2988"/>
        <w:gridCol w:w="3011"/>
      </w:tblGrid>
      <w:tr w:rsidR="00683722" w:rsidRPr="008F00CC" w14:paraId="6304D77D" w14:textId="77777777" w:rsidTr="001B4B10">
        <w:tc>
          <w:tcPr>
            <w:tcW w:w="3285" w:type="dxa"/>
          </w:tcPr>
          <w:p w14:paraId="45AA07E8" w14:textId="77777777" w:rsidR="00683722" w:rsidRPr="008F00CC" w:rsidRDefault="00683722" w:rsidP="001B4B10">
            <w:pPr>
              <w:rPr>
                <w:rFonts w:asciiTheme="minorHAnsi" w:hAnsiTheme="minorHAnsi" w:cstheme="minorHAnsi"/>
                <w:b/>
                <w:sz w:val="24"/>
                <w:szCs w:val="24"/>
              </w:rPr>
            </w:pPr>
            <w:r w:rsidRPr="008F00CC">
              <w:rPr>
                <w:rFonts w:asciiTheme="minorHAnsi" w:hAnsiTheme="minorHAnsi" w:cstheme="minorHAnsi"/>
                <w:b/>
                <w:sz w:val="24"/>
                <w:szCs w:val="24"/>
              </w:rPr>
              <w:t>Version No.</w:t>
            </w:r>
          </w:p>
        </w:tc>
        <w:tc>
          <w:tcPr>
            <w:tcW w:w="3285" w:type="dxa"/>
          </w:tcPr>
          <w:p w14:paraId="26FE2214" w14:textId="77777777" w:rsidR="00683722" w:rsidRPr="008F00CC" w:rsidRDefault="00683722" w:rsidP="001B4B10">
            <w:pPr>
              <w:rPr>
                <w:rFonts w:asciiTheme="minorHAnsi" w:hAnsiTheme="minorHAnsi" w:cstheme="minorHAnsi"/>
                <w:b/>
                <w:sz w:val="24"/>
                <w:szCs w:val="24"/>
              </w:rPr>
            </w:pPr>
            <w:r w:rsidRPr="008F00CC">
              <w:rPr>
                <w:rFonts w:asciiTheme="minorHAnsi" w:hAnsiTheme="minorHAnsi" w:cstheme="minorHAnsi"/>
                <w:b/>
                <w:sz w:val="24"/>
                <w:szCs w:val="24"/>
              </w:rPr>
              <w:t>Issue Date</w:t>
            </w:r>
          </w:p>
        </w:tc>
        <w:tc>
          <w:tcPr>
            <w:tcW w:w="3285" w:type="dxa"/>
          </w:tcPr>
          <w:p w14:paraId="7E6E2816" w14:textId="77777777" w:rsidR="00683722" w:rsidRPr="008F00CC" w:rsidRDefault="00683722" w:rsidP="001B4B10">
            <w:pPr>
              <w:rPr>
                <w:rFonts w:asciiTheme="minorHAnsi" w:hAnsiTheme="minorHAnsi" w:cstheme="minorHAnsi"/>
                <w:b/>
                <w:sz w:val="24"/>
                <w:szCs w:val="24"/>
              </w:rPr>
            </w:pPr>
            <w:r w:rsidRPr="008F00CC">
              <w:rPr>
                <w:rFonts w:asciiTheme="minorHAnsi" w:hAnsiTheme="minorHAnsi" w:cstheme="minorHAnsi"/>
                <w:b/>
                <w:sz w:val="24"/>
                <w:szCs w:val="24"/>
              </w:rPr>
              <w:t>Author</w:t>
            </w:r>
          </w:p>
        </w:tc>
      </w:tr>
      <w:tr w:rsidR="00683722" w:rsidRPr="008F00CC" w14:paraId="5ED6FDF5" w14:textId="77777777" w:rsidTr="001B4B10">
        <w:tc>
          <w:tcPr>
            <w:tcW w:w="3285" w:type="dxa"/>
          </w:tcPr>
          <w:p w14:paraId="4BCBCE38" w14:textId="77777777" w:rsidR="00683722" w:rsidRPr="008F00CC" w:rsidRDefault="00683722" w:rsidP="001B4B10">
            <w:pPr>
              <w:rPr>
                <w:rFonts w:asciiTheme="minorHAnsi" w:hAnsiTheme="minorHAnsi" w:cstheme="minorHAnsi"/>
                <w:sz w:val="24"/>
                <w:szCs w:val="24"/>
              </w:rPr>
            </w:pPr>
            <w:r w:rsidRPr="008F00CC">
              <w:rPr>
                <w:rFonts w:asciiTheme="minorHAnsi" w:hAnsiTheme="minorHAnsi" w:cstheme="minorHAnsi"/>
                <w:sz w:val="24"/>
                <w:szCs w:val="24"/>
              </w:rPr>
              <w:t>Version 1.0</w:t>
            </w:r>
          </w:p>
        </w:tc>
        <w:tc>
          <w:tcPr>
            <w:tcW w:w="3285" w:type="dxa"/>
          </w:tcPr>
          <w:p w14:paraId="64B32531" w14:textId="70F99197" w:rsidR="00683722" w:rsidRPr="008F00CC" w:rsidRDefault="00683722" w:rsidP="001B4B10">
            <w:pPr>
              <w:rPr>
                <w:rFonts w:asciiTheme="minorHAnsi" w:hAnsiTheme="minorHAnsi" w:cstheme="minorHAnsi"/>
                <w:i/>
                <w:sz w:val="24"/>
                <w:szCs w:val="24"/>
              </w:rPr>
            </w:pPr>
            <w:r>
              <w:rPr>
                <w:rFonts w:asciiTheme="minorHAnsi" w:hAnsiTheme="minorHAnsi" w:cstheme="minorHAnsi"/>
                <w:i/>
                <w:sz w:val="24"/>
                <w:szCs w:val="24"/>
              </w:rPr>
              <w:t>4 June 2024</w:t>
            </w:r>
          </w:p>
        </w:tc>
        <w:tc>
          <w:tcPr>
            <w:tcW w:w="3285" w:type="dxa"/>
          </w:tcPr>
          <w:p w14:paraId="47A6A364" w14:textId="70B4B3E9" w:rsidR="00683722" w:rsidRPr="008F00CC" w:rsidRDefault="00683722" w:rsidP="001B4B10">
            <w:pPr>
              <w:rPr>
                <w:rFonts w:asciiTheme="minorHAnsi" w:hAnsiTheme="minorHAnsi" w:cstheme="minorHAnsi"/>
                <w:i/>
                <w:sz w:val="24"/>
                <w:szCs w:val="24"/>
              </w:rPr>
            </w:pPr>
            <w:r>
              <w:rPr>
                <w:rFonts w:asciiTheme="minorHAnsi" w:hAnsiTheme="minorHAnsi" w:cstheme="minorHAnsi"/>
                <w:i/>
                <w:sz w:val="24"/>
                <w:szCs w:val="24"/>
              </w:rPr>
              <w:t>Sarah Nash</w:t>
            </w:r>
          </w:p>
        </w:tc>
      </w:tr>
      <w:tr w:rsidR="00683722" w:rsidRPr="008F00CC" w14:paraId="158D53A4" w14:textId="77777777" w:rsidTr="001B4B10">
        <w:tc>
          <w:tcPr>
            <w:tcW w:w="3285" w:type="dxa"/>
          </w:tcPr>
          <w:p w14:paraId="78D9768B" w14:textId="77777777" w:rsidR="00683722" w:rsidRPr="008F00CC" w:rsidRDefault="00683722" w:rsidP="001B4B10">
            <w:pPr>
              <w:rPr>
                <w:rFonts w:asciiTheme="minorHAnsi" w:hAnsiTheme="minorHAnsi" w:cstheme="minorHAnsi"/>
                <w:sz w:val="24"/>
                <w:szCs w:val="24"/>
              </w:rPr>
            </w:pPr>
          </w:p>
        </w:tc>
        <w:tc>
          <w:tcPr>
            <w:tcW w:w="3285" w:type="dxa"/>
          </w:tcPr>
          <w:p w14:paraId="49A5AAD5" w14:textId="77777777" w:rsidR="00683722" w:rsidRPr="008F00CC" w:rsidRDefault="00683722" w:rsidP="001B4B10">
            <w:pPr>
              <w:rPr>
                <w:rFonts w:asciiTheme="minorHAnsi" w:hAnsiTheme="minorHAnsi" w:cstheme="minorHAnsi"/>
                <w:sz w:val="24"/>
                <w:szCs w:val="24"/>
              </w:rPr>
            </w:pPr>
          </w:p>
        </w:tc>
        <w:tc>
          <w:tcPr>
            <w:tcW w:w="3285" w:type="dxa"/>
          </w:tcPr>
          <w:p w14:paraId="73977C6D" w14:textId="77777777" w:rsidR="00683722" w:rsidRPr="008F00CC" w:rsidRDefault="00683722" w:rsidP="001B4B10">
            <w:pPr>
              <w:rPr>
                <w:rFonts w:asciiTheme="minorHAnsi" w:hAnsiTheme="minorHAnsi" w:cstheme="minorHAnsi"/>
                <w:sz w:val="24"/>
                <w:szCs w:val="24"/>
              </w:rPr>
            </w:pPr>
          </w:p>
        </w:tc>
      </w:tr>
      <w:tr w:rsidR="00683722" w:rsidRPr="008F00CC" w14:paraId="151441BB" w14:textId="77777777" w:rsidTr="001B4B10">
        <w:tc>
          <w:tcPr>
            <w:tcW w:w="3285" w:type="dxa"/>
          </w:tcPr>
          <w:p w14:paraId="69CE7FBC" w14:textId="77777777" w:rsidR="00683722" w:rsidRPr="008F00CC" w:rsidRDefault="00683722" w:rsidP="001B4B10">
            <w:pPr>
              <w:rPr>
                <w:rFonts w:asciiTheme="minorHAnsi" w:hAnsiTheme="minorHAnsi" w:cstheme="minorHAnsi"/>
                <w:sz w:val="24"/>
                <w:szCs w:val="24"/>
              </w:rPr>
            </w:pPr>
          </w:p>
        </w:tc>
        <w:tc>
          <w:tcPr>
            <w:tcW w:w="3285" w:type="dxa"/>
          </w:tcPr>
          <w:p w14:paraId="3207423D" w14:textId="77777777" w:rsidR="00683722" w:rsidRPr="008F00CC" w:rsidRDefault="00683722" w:rsidP="001B4B10">
            <w:pPr>
              <w:rPr>
                <w:rFonts w:asciiTheme="minorHAnsi" w:hAnsiTheme="minorHAnsi" w:cstheme="minorHAnsi"/>
                <w:sz w:val="24"/>
                <w:szCs w:val="24"/>
              </w:rPr>
            </w:pPr>
          </w:p>
        </w:tc>
        <w:tc>
          <w:tcPr>
            <w:tcW w:w="3285" w:type="dxa"/>
          </w:tcPr>
          <w:p w14:paraId="5B84EA10" w14:textId="77777777" w:rsidR="00683722" w:rsidRPr="008F00CC" w:rsidRDefault="00683722" w:rsidP="001B4B10">
            <w:pPr>
              <w:rPr>
                <w:rFonts w:asciiTheme="minorHAnsi" w:hAnsiTheme="minorHAnsi" w:cstheme="minorHAnsi"/>
                <w:sz w:val="24"/>
                <w:szCs w:val="24"/>
              </w:rPr>
            </w:pPr>
          </w:p>
        </w:tc>
      </w:tr>
      <w:tr w:rsidR="00683722" w:rsidRPr="008F00CC" w14:paraId="3348F068" w14:textId="77777777" w:rsidTr="001B4B10">
        <w:tc>
          <w:tcPr>
            <w:tcW w:w="3285" w:type="dxa"/>
          </w:tcPr>
          <w:p w14:paraId="452A5536" w14:textId="77777777" w:rsidR="00683722" w:rsidRPr="008F00CC" w:rsidRDefault="00683722" w:rsidP="001B4B10">
            <w:pPr>
              <w:rPr>
                <w:rFonts w:asciiTheme="minorHAnsi" w:hAnsiTheme="minorHAnsi" w:cstheme="minorHAnsi"/>
                <w:sz w:val="24"/>
                <w:szCs w:val="24"/>
              </w:rPr>
            </w:pPr>
          </w:p>
        </w:tc>
        <w:tc>
          <w:tcPr>
            <w:tcW w:w="3285" w:type="dxa"/>
          </w:tcPr>
          <w:p w14:paraId="0413CDE4" w14:textId="77777777" w:rsidR="00683722" w:rsidRPr="008F00CC" w:rsidRDefault="00683722" w:rsidP="001B4B10">
            <w:pPr>
              <w:rPr>
                <w:rFonts w:asciiTheme="minorHAnsi" w:hAnsiTheme="minorHAnsi" w:cstheme="minorHAnsi"/>
                <w:sz w:val="24"/>
                <w:szCs w:val="24"/>
              </w:rPr>
            </w:pPr>
          </w:p>
        </w:tc>
        <w:tc>
          <w:tcPr>
            <w:tcW w:w="3285" w:type="dxa"/>
          </w:tcPr>
          <w:p w14:paraId="06CE4C12" w14:textId="77777777" w:rsidR="00683722" w:rsidRPr="008F00CC" w:rsidRDefault="00683722" w:rsidP="001B4B10">
            <w:pPr>
              <w:rPr>
                <w:rFonts w:asciiTheme="minorHAnsi" w:hAnsiTheme="minorHAnsi" w:cstheme="minorHAnsi"/>
                <w:sz w:val="24"/>
                <w:szCs w:val="24"/>
              </w:rPr>
            </w:pPr>
          </w:p>
        </w:tc>
      </w:tr>
    </w:tbl>
    <w:p w14:paraId="103BA385" w14:textId="77777777" w:rsidR="00683722" w:rsidRPr="008F00CC" w:rsidRDefault="00683722" w:rsidP="00683722">
      <w:pPr>
        <w:pStyle w:val="TRONormal"/>
        <w:rPr>
          <w:rFonts w:cstheme="minorHAnsi"/>
          <w:b/>
        </w:rPr>
      </w:pPr>
    </w:p>
    <w:p w14:paraId="5AFCE1B5" w14:textId="77777777" w:rsidR="00683722" w:rsidRPr="008F00CC" w:rsidRDefault="00683722" w:rsidP="00683722">
      <w:pPr>
        <w:pStyle w:val="TRONormal"/>
        <w:rPr>
          <w:rFonts w:cstheme="minorHAnsi"/>
          <w:b/>
        </w:rPr>
      </w:pPr>
      <w:r w:rsidRPr="008F00CC">
        <w:rPr>
          <w:rFonts w:cstheme="minorHAnsi"/>
          <w:b/>
        </w:rPr>
        <w:t xml:space="preserve">Details </w:t>
      </w:r>
      <w:r w:rsidRPr="008F00CC">
        <w:rPr>
          <w:rFonts w:cstheme="minorHAnsi"/>
          <w:i/>
        </w:rPr>
        <w:t>example</w:t>
      </w:r>
    </w:p>
    <w:tbl>
      <w:tblPr>
        <w:tblStyle w:val="TableGrid"/>
        <w:tblW w:w="0" w:type="auto"/>
        <w:tblLook w:val="04A0" w:firstRow="1" w:lastRow="0" w:firstColumn="1" w:lastColumn="0" w:noHBand="0" w:noVBand="1"/>
      </w:tblPr>
      <w:tblGrid>
        <w:gridCol w:w="2972"/>
        <w:gridCol w:w="6044"/>
      </w:tblGrid>
      <w:tr w:rsidR="00683722" w:rsidRPr="008F00CC" w14:paraId="624657B1" w14:textId="77777777" w:rsidTr="001B4B10">
        <w:trPr>
          <w:trHeight w:val="353"/>
        </w:trPr>
        <w:tc>
          <w:tcPr>
            <w:tcW w:w="2972" w:type="dxa"/>
          </w:tcPr>
          <w:p w14:paraId="326BC608" w14:textId="77777777" w:rsidR="00683722" w:rsidRPr="008F00CC" w:rsidRDefault="00683722" w:rsidP="001B4B10">
            <w:pPr>
              <w:rPr>
                <w:rFonts w:asciiTheme="minorHAnsi" w:hAnsiTheme="minorHAnsi" w:cstheme="minorHAnsi"/>
                <w:b/>
                <w:sz w:val="24"/>
                <w:szCs w:val="24"/>
              </w:rPr>
            </w:pPr>
            <w:r w:rsidRPr="008F00CC">
              <w:rPr>
                <w:rFonts w:asciiTheme="minorHAnsi" w:hAnsiTheme="minorHAnsi" w:cstheme="minorHAnsi"/>
                <w:b/>
                <w:sz w:val="24"/>
                <w:szCs w:val="24"/>
              </w:rPr>
              <w:t>Area responsible for Policy/Plan/Program</w:t>
            </w:r>
          </w:p>
        </w:tc>
        <w:tc>
          <w:tcPr>
            <w:tcW w:w="6044" w:type="dxa"/>
          </w:tcPr>
          <w:p w14:paraId="6B98DC3F" w14:textId="77777777" w:rsidR="00683722" w:rsidRPr="008F00CC" w:rsidRDefault="00683722" w:rsidP="001B4B10">
            <w:pPr>
              <w:rPr>
                <w:rFonts w:asciiTheme="minorHAnsi" w:hAnsiTheme="minorHAnsi" w:cstheme="minorHAnsi"/>
                <w:sz w:val="24"/>
                <w:szCs w:val="24"/>
              </w:rPr>
            </w:pPr>
            <w:r w:rsidRPr="008F00CC">
              <w:rPr>
                <w:rFonts w:asciiTheme="minorHAnsi" w:hAnsiTheme="minorHAnsi" w:cstheme="minorHAnsi"/>
                <w:sz w:val="24"/>
                <w:szCs w:val="24"/>
              </w:rPr>
              <w:t xml:space="preserve">CFC – Corporate </w:t>
            </w:r>
            <w:r w:rsidRPr="008F00CC">
              <w:rPr>
                <w:rFonts w:asciiTheme="minorHAnsi" w:hAnsiTheme="minorHAnsi" w:cstheme="minorHAnsi"/>
                <w:i/>
                <w:sz w:val="24"/>
                <w:szCs w:val="24"/>
              </w:rPr>
              <w:t>(example)</w:t>
            </w:r>
          </w:p>
        </w:tc>
      </w:tr>
      <w:tr w:rsidR="00683722" w:rsidRPr="008F00CC" w14:paraId="090BE058" w14:textId="77777777" w:rsidTr="001B4B10">
        <w:trPr>
          <w:trHeight w:val="353"/>
        </w:trPr>
        <w:tc>
          <w:tcPr>
            <w:tcW w:w="2972" w:type="dxa"/>
          </w:tcPr>
          <w:p w14:paraId="3F9F166A" w14:textId="77777777" w:rsidR="00683722" w:rsidRPr="008F00CC" w:rsidRDefault="00683722" w:rsidP="001B4B10">
            <w:pPr>
              <w:rPr>
                <w:rFonts w:asciiTheme="minorHAnsi" w:hAnsiTheme="minorHAnsi" w:cstheme="minorHAnsi"/>
                <w:b/>
                <w:sz w:val="24"/>
                <w:szCs w:val="24"/>
              </w:rPr>
            </w:pPr>
            <w:r w:rsidRPr="008F00CC">
              <w:rPr>
                <w:rFonts w:asciiTheme="minorHAnsi" w:hAnsiTheme="minorHAnsi" w:cstheme="minorHAnsi"/>
                <w:b/>
                <w:sz w:val="24"/>
                <w:szCs w:val="24"/>
              </w:rPr>
              <w:t>Stakeholders</w:t>
            </w:r>
          </w:p>
        </w:tc>
        <w:tc>
          <w:tcPr>
            <w:tcW w:w="6044" w:type="dxa"/>
          </w:tcPr>
          <w:p w14:paraId="552BB6AD" w14:textId="77777777" w:rsidR="00683722" w:rsidRPr="008F00CC" w:rsidRDefault="00683722" w:rsidP="001B4B10">
            <w:pPr>
              <w:rPr>
                <w:rFonts w:asciiTheme="minorHAnsi" w:hAnsiTheme="minorHAnsi" w:cstheme="minorHAnsi"/>
                <w:sz w:val="24"/>
                <w:szCs w:val="24"/>
              </w:rPr>
            </w:pPr>
            <w:r w:rsidRPr="008F00CC">
              <w:rPr>
                <w:rFonts w:asciiTheme="minorHAnsi" w:hAnsiTheme="minorHAnsi" w:cstheme="minorHAnsi"/>
                <w:sz w:val="24"/>
                <w:szCs w:val="24"/>
              </w:rPr>
              <w:t xml:space="preserve">All Cultural Facilities Corporation Staff </w:t>
            </w:r>
            <w:r w:rsidRPr="008F00CC">
              <w:rPr>
                <w:rFonts w:asciiTheme="minorHAnsi" w:hAnsiTheme="minorHAnsi" w:cstheme="minorHAnsi"/>
                <w:i/>
                <w:sz w:val="24"/>
                <w:szCs w:val="24"/>
              </w:rPr>
              <w:t>(example)</w:t>
            </w:r>
          </w:p>
        </w:tc>
      </w:tr>
      <w:tr w:rsidR="00683722" w:rsidRPr="008F00CC" w14:paraId="4BD80747" w14:textId="77777777" w:rsidTr="001B4B10">
        <w:trPr>
          <w:trHeight w:val="353"/>
        </w:trPr>
        <w:tc>
          <w:tcPr>
            <w:tcW w:w="2972" w:type="dxa"/>
          </w:tcPr>
          <w:p w14:paraId="27AA4D1D" w14:textId="77777777" w:rsidR="00683722" w:rsidRPr="008F00CC" w:rsidRDefault="00683722" w:rsidP="001B4B10">
            <w:pPr>
              <w:rPr>
                <w:rFonts w:asciiTheme="minorHAnsi" w:hAnsiTheme="minorHAnsi" w:cstheme="minorHAnsi"/>
                <w:b/>
                <w:sz w:val="24"/>
                <w:szCs w:val="24"/>
              </w:rPr>
            </w:pPr>
            <w:r w:rsidRPr="008F00CC">
              <w:rPr>
                <w:rFonts w:asciiTheme="minorHAnsi" w:hAnsiTheme="minorHAnsi" w:cstheme="minorHAnsi"/>
                <w:b/>
                <w:sz w:val="24"/>
                <w:szCs w:val="24"/>
              </w:rPr>
              <w:t>Document location</w:t>
            </w:r>
          </w:p>
        </w:tc>
        <w:tc>
          <w:tcPr>
            <w:tcW w:w="6044" w:type="dxa"/>
          </w:tcPr>
          <w:p w14:paraId="4B5D0D67" w14:textId="53ECE176" w:rsidR="00683722" w:rsidRPr="008F00CC" w:rsidRDefault="006B5B90" w:rsidP="001B4B10">
            <w:pPr>
              <w:rPr>
                <w:rFonts w:asciiTheme="minorHAnsi" w:hAnsiTheme="minorHAnsi" w:cstheme="minorHAnsi"/>
                <w:sz w:val="24"/>
                <w:szCs w:val="24"/>
              </w:rPr>
            </w:pPr>
            <w:hyperlink r:id="rId7" w:history="1">
              <w:r w:rsidR="00683722" w:rsidRPr="00683722">
                <w:rPr>
                  <w:rStyle w:val="Hyperlink"/>
                  <w:rFonts w:asciiTheme="minorHAnsi" w:hAnsiTheme="minorHAnsi" w:cstheme="minorHAnsi"/>
                  <w:sz w:val="24"/>
                  <w:szCs w:val="24"/>
                </w:rPr>
                <w:t>G:\CFC\Staff\Documents\CFC\CFC Open Access Compliance Strategy</w:t>
              </w:r>
            </w:hyperlink>
          </w:p>
        </w:tc>
      </w:tr>
      <w:tr w:rsidR="00683722" w:rsidRPr="008F00CC" w14:paraId="6487D479" w14:textId="77777777" w:rsidTr="001B4B10">
        <w:trPr>
          <w:trHeight w:val="353"/>
        </w:trPr>
        <w:tc>
          <w:tcPr>
            <w:tcW w:w="2972" w:type="dxa"/>
          </w:tcPr>
          <w:p w14:paraId="399C06FC" w14:textId="77777777" w:rsidR="00683722" w:rsidRPr="008F00CC" w:rsidRDefault="00683722" w:rsidP="001B4B10">
            <w:pPr>
              <w:rPr>
                <w:rFonts w:asciiTheme="minorHAnsi" w:hAnsiTheme="minorHAnsi" w:cstheme="minorHAnsi"/>
                <w:b/>
                <w:sz w:val="24"/>
                <w:szCs w:val="24"/>
              </w:rPr>
            </w:pPr>
            <w:r w:rsidRPr="008F00CC">
              <w:rPr>
                <w:rFonts w:asciiTheme="minorHAnsi" w:hAnsiTheme="minorHAnsi" w:cstheme="minorHAnsi"/>
                <w:b/>
                <w:sz w:val="24"/>
                <w:szCs w:val="24"/>
              </w:rPr>
              <w:t>Record number and name</w:t>
            </w:r>
          </w:p>
        </w:tc>
        <w:tc>
          <w:tcPr>
            <w:tcW w:w="6044" w:type="dxa"/>
          </w:tcPr>
          <w:p w14:paraId="31C4C35F" w14:textId="2A01EEB5" w:rsidR="00683722" w:rsidRPr="008F00CC" w:rsidRDefault="00683722" w:rsidP="00683722">
            <w:pPr>
              <w:rPr>
                <w:rFonts w:asciiTheme="minorHAnsi" w:hAnsiTheme="minorHAnsi" w:cstheme="minorHAnsi"/>
                <w:sz w:val="24"/>
                <w:szCs w:val="24"/>
              </w:rPr>
            </w:pPr>
            <w:r>
              <w:rPr>
                <w:rFonts w:asciiTheme="minorHAnsi" w:hAnsiTheme="minorHAnsi" w:cstheme="minorHAnsi"/>
                <w:sz w:val="24"/>
                <w:szCs w:val="24"/>
              </w:rPr>
              <w:t xml:space="preserve">TRIM No - </w:t>
            </w:r>
            <w:r w:rsidRPr="00683722">
              <w:rPr>
                <w:rFonts w:asciiTheme="minorHAnsi" w:hAnsiTheme="minorHAnsi" w:cstheme="minorHAnsi"/>
                <w:sz w:val="24"/>
                <w:szCs w:val="24"/>
              </w:rPr>
              <w:t>CFC2024/193</w:t>
            </w:r>
            <w:r>
              <w:rPr>
                <w:rFonts w:asciiTheme="minorHAnsi" w:hAnsiTheme="minorHAnsi" w:cstheme="minorHAnsi"/>
                <w:sz w:val="24"/>
                <w:szCs w:val="24"/>
              </w:rPr>
              <w:t xml:space="preserve"> </w:t>
            </w:r>
            <w:r w:rsidRPr="008F00CC">
              <w:rPr>
                <w:rFonts w:asciiTheme="minorHAnsi" w:hAnsiTheme="minorHAnsi" w:cstheme="minorHAnsi"/>
                <w:sz w:val="24"/>
                <w:szCs w:val="24"/>
              </w:rPr>
              <w:t>–</w:t>
            </w:r>
            <w:r>
              <w:rPr>
                <w:rFonts w:asciiTheme="minorHAnsi" w:hAnsiTheme="minorHAnsi" w:cstheme="minorHAnsi"/>
                <w:sz w:val="24"/>
                <w:szCs w:val="24"/>
              </w:rPr>
              <w:t xml:space="preserve"> </w:t>
            </w:r>
            <w:r w:rsidRPr="00683722">
              <w:rPr>
                <w:rFonts w:asciiTheme="minorHAnsi" w:hAnsiTheme="minorHAnsi" w:cstheme="minorHAnsi"/>
                <w:sz w:val="24"/>
                <w:szCs w:val="24"/>
              </w:rPr>
              <w:t>RECORDS &amp; INFORMATION MANAGEMENT - Compliance - CFC Open Access Compliance Strategy</w:t>
            </w:r>
            <w:r w:rsidRPr="00683722">
              <w:rPr>
                <w:rFonts w:asciiTheme="minorHAnsi" w:hAnsiTheme="minorHAnsi" w:cstheme="minorHAnsi"/>
                <w:sz w:val="24"/>
                <w:szCs w:val="24"/>
              </w:rPr>
              <w:tab/>
            </w:r>
          </w:p>
        </w:tc>
      </w:tr>
      <w:tr w:rsidR="00683722" w:rsidRPr="008F00CC" w14:paraId="10792B0B" w14:textId="77777777" w:rsidTr="001B4B10">
        <w:trPr>
          <w:trHeight w:val="353"/>
        </w:trPr>
        <w:tc>
          <w:tcPr>
            <w:tcW w:w="2972" w:type="dxa"/>
          </w:tcPr>
          <w:p w14:paraId="49EF124E" w14:textId="77777777" w:rsidR="00683722" w:rsidRPr="008F00CC" w:rsidRDefault="00683722" w:rsidP="001B4B10">
            <w:pPr>
              <w:rPr>
                <w:rFonts w:asciiTheme="minorHAnsi" w:hAnsiTheme="minorHAnsi" w:cstheme="minorHAnsi"/>
                <w:b/>
                <w:sz w:val="24"/>
                <w:szCs w:val="24"/>
              </w:rPr>
            </w:pPr>
            <w:r w:rsidRPr="008F00CC">
              <w:rPr>
                <w:rFonts w:asciiTheme="minorHAnsi" w:hAnsiTheme="minorHAnsi" w:cstheme="minorHAnsi"/>
                <w:b/>
                <w:sz w:val="24"/>
                <w:szCs w:val="24"/>
              </w:rPr>
              <w:t>Strategic Plan aligned</w:t>
            </w:r>
          </w:p>
        </w:tc>
        <w:tc>
          <w:tcPr>
            <w:tcW w:w="6044" w:type="dxa"/>
          </w:tcPr>
          <w:p w14:paraId="739E06D6" w14:textId="01EF0209" w:rsidR="00683722" w:rsidRPr="008F00CC" w:rsidRDefault="00683722" w:rsidP="001B4B10">
            <w:pPr>
              <w:rPr>
                <w:rFonts w:asciiTheme="minorHAnsi" w:hAnsiTheme="minorHAnsi" w:cstheme="minorHAnsi"/>
                <w:sz w:val="24"/>
                <w:szCs w:val="24"/>
              </w:rPr>
            </w:pPr>
            <w:r>
              <w:rPr>
                <w:rFonts w:asciiTheme="minorHAnsi" w:hAnsiTheme="minorHAnsi" w:cstheme="minorHAnsi"/>
                <w:sz w:val="24"/>
                <w:szCs w:val="24"/>
              </w:rPr>
              <w:t>YES</w:t>
            </w:r>
          </w:p>
        </w:tc>
      </w:tr>
      <w:tr w:rsidR="00683722" w:rsidRPr="008F00CC" w14:paraId="56CB22C1" w14:textId="77777777" w:rsidTr="001B4B10">
        <w:trPr>
          <w:trHeight w:val="353"/>
        </w:trPr>
        <w:tc>
          <w:tcPr>
            <w:tcW w:w="2972" w:type="dxa"/>
          </w:tcPr>
          <w:p w14:paraId="1374FCAC" w14:textId="77777777" w:rsidR="00683722" w:rsidRPr="008F00CC" w:rsidRDefault="00683722" w:rsidP="001B4B10">
            <w:pPr>
              <w:rPr>
                <w:rFonts w:asciiTheme="minorHAnsi" w:hAnsiTheme="minorHAnsi" w:cstheme="minorHAnsi"/>
                <w:b/>
                <w:sz w:val="24"/>
                <w:szCs w:val="24"/>
              </w:rPr>
            </w:pPr>
            <w:r w:rsidRPr="008F00CC">
              <w:rPr>
                <w:rFonts w:asciiTheme="minorHAnsi" w:hAnsiTheme="minorHAnsi" w:cstheme="minorHAnsi"/>
                <w:b/>
                <w:i/>
                <w:sz w:val="24"/>
                <w:szCs w:val="24"/>
              </w:rPr>
              <w:t>Freedom of Information Act 2016</w:t>
            </w:r>
            <w:r w:rsidRPr="008F00CC">
              <w:rPr>
                <w:rFonts w:asciiTheme="minorHAnsi" w:hAnsiTheme="minorHAnsi" w:cstheme="minorHAnsi"/>
                <w:b/>
                <w:sz w:val="24"/>
                <w:szCs w:val="24"/>
              </w:rPr>
              <w:t xml:space="preserve"> compliant</w:t>
            </w:r>
          </w:p>
        </w:tc>
        <w:tc>
          <w:tcPr>
            <w:tcW w:w="6044" w:type="dxa"/>
          </w:tcPr>
          <w:p w14:paraId="0A0E0464" w14:textId="77777777" w:rsidR="00683722" w:rsidRPr="008F00CC" w:rsidRDefault="00683722" w:rsidP="001B4B10">
            <w:pPr>
              <w:rPr>
                <w:rFonts w:asciiTheme="minorHAnsi" w:hAnsiTheme="minorHAnsi" w:cstheme="minorHAnsi"/>
                <w:sz w:val="24"/>
                <w:szCs w:val="24"/>
              </w:rPr>
            </w:pPr>
            <w:r w:rsidRPr="008F00CC">
              <w:rPr>
                <w:rFonts w:asciiTheme="minorHAnsi" w:hAnsiTheme="minorHAnsi" w:cstheme="minorHAnsi"/>
                <w:sz w:val="24"/>
                <w:szCs w:val="24"/>
              </w:rPr>
              <w:t>Document linked to the Open Access Information website?</w:t>
            </w:r>
            <w:r w:rsidRPr="008F00CC">
              <w:rPr>
                <w:rFonts w:asciiTheme="minorHAnsi" w:hAnsiTheme="minorHAnsi" w:cstheme="minorHAnsi"/>
                <w:sz w:val="24"/>
                <w:szCs w:val="24"/>
              </w:rPr>
              <w:br/>
              <w:t xml:space="preserve">No  </w:t>
            </w:r>
            <w:sdt>
              <w:sdtPr>
                <w:rPr>
                  <w:rFonts w:cstheme="minorHAnsi"/>
                  <w:sz w:val="24"/>
                  <w:szCs w:val="24"/>
                </w:rPr>
                <w:id w:val="1333258121"/>
                <w14:checkbox>
                  <w14:checked w14:val="0"/>
                  <w14:checkedState w14:val="2612" w14:font="MS Gothic"/>
                  <w14:uncheckedState w14:val="2610" w14:font="MS Gothic"/>
                </w14:checkbox>
              </w:sdtPr>
              <w:sdtEndPr/>
              <w:sdtContent>
                <w:r w:rsidRPr="008F00CC">
                  <w:rPr>
                    <w:rFonts w:ascii="Segoe UI Symbol" w:eastAsia="MS Gothic" w:hAnsi="Segoe UI Symbol" w:cs="Segoe UI Symbol"/>
                    <w:sz w:val="24"/>
                    <w:szCs w:val="24"/>
                  </w:rPr>
                  <w:t>☐</w:t>
                </w:r>
              </w:sdtContent>
            </w:sdt>
            <w:r w:rsidRPr="008F00CC">
              <w:rPr>
                <w:rFonts w:asciiTheme="minorHAnsi" w:hAnsiTheme="minorHAnsi" w:cstheme="minorHAnsi"/>
                <w:sz w:val="24"/>
                <w:szCs w:val="24"/>
              </w:rPr>
              <w:t xml:space="preserve"> (the document is not appropriate for public viewing)</w:t>
            </w:r>
            <w:r w:rsidRPr="008F00CC">
              <w:rPr>
                <w:rFonts w:asciiTheme="minorHAnsi" w:hAnsiTheme="minorHAnsi" w:cstheme="minorHAnsi"/>
                <w:sz w:val="24"/>
                <w:szCs w:val="24"/>
              </w:rPr>
              <w:br/>
              <w:t xml:space="preserve">Yes </w:t>
            </w:r>
            <w:sdt>
              <w:sdtPr>
                <w:rPr>
                  <w:rFonts w:cstheme="minorHAnsi"/>
                  <w:sz w:val="24"/>
                  <w:szCs w:val="24"/>
                </w:rPr>
                <w:id w:val="-629783336"/>
                <w14:checkbox>
                  <w14:checked w14:val="1"/>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8F00CC">
              <w:rPr>
                <w:rFonts w:asciiTheme="minorHAnsi" w:hAnsiTheme="minorHAnsi" w:cstheme="minorHAnsi"/>
                <w:sz w:val="24"/>
                <w:szCs w:val="24"/>
              </w:rPr>
              <w:t xml:space="preserve"> (the document is appropriate for public viewing)</w:t>
            </w:r>
          </w:p>
        </w:tc>
      </w:tr>
    </w:tbl>
    <w:p w14:paraId="4A012951" w14:textId="77777777" w:rsidR="00683722" w:rsidRDefault="00683722" w:rsidP="00683722">
      <w:pPr>
        <w:pStyle w:val="Default"/>
        <w:rPr>
          <w:sz w:val="23"/>
          <w:szCs w:val="23"/>
        </w:rPr>
      </w:pPr>
    </w:p>
    <w:p w14:paraId="4A94024B" w14:textId="77777777" w:rsidR="00F5265F" w:rsidRPr="005104FA" w:rsidRDefault="00F5265F" w:rsidP="00F5265F">
      <w:pPr>
        <w:jc w:val="center"/>
        <w:rPr>
          <w:i/>
          <w:sz w:val="24"/>
          <w:szCs w:val="24"/>
        </w:rPr>
      </w:pPr>
    </w:p>
    <w:tbl>
      <w:tblPr>
        <w:tblStyle w:val="TableGrid"/>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204"/>
      </w:tblGrid>
      <w:tr w:rsidR="00F5265F" w:rsidRPr="005104FA" w14:paraId="23398447" w14:textId="77777777" w:rsidTr="001B4B10">
        <w:tc>
          <w:tcPr>
            <w:tcW w:w="3544" w:type="dxa"/>
          </w:tcPr>
          <w:p w14:paraId="2B28D249" w14:textId="77777777" w:rsidR="00F5265F" w:rsidRPr="005104FA" w:rsidRDefault="00F5265F" w:rsidP="006B5B90">
            <w:pPr>
              <w:spacing w:after="120"/>
              <w:rPr>
                <w:rFonts w:asciiTheme="minorHAnsi" w:hAnsiTheme="minorHAnsi" w:cstheme="minorHAnsi"/>
                <w:sz w:val="24"/>
                <w:szCs w:val="24"/>
              </w:rPr>
            </w:pPr>
            <w:r w:rsidRPr="005104FA">
              <w:rPr>
                <w:rFonts w:asciiTheme="minorHAnsi" w:hAnsiTheme="minorHAnsi" w:cstheme="minorHAnsi"/>
                <w:sz w:val="24"/>
                <w:szCs w:val="24"/>
              </w:rPr>
              <w:t>Authorised by:</w:t>
            </w:r>
          </w:p>
        </w:tc>
        <w:tc>
          <w:tcPr>
            <w:tcW w:w="6204" w:type="dxa"/>
          </w:tcPr>
          <w:p w14:paraId="2BBB9AAF" w14:textId="77777777" w:rsidR="006B5B90" w:rsidRDefault="006B5B90" w:rsidP="006B5B90">
            <w:pPr>
              <w:rPr>
                <w:rFonts w:asciiTheme="minorHAnsi" w:hAnsiTheme="minorHAnsi" w:cstheme="minorHAnsi"/>
                <w:i/>
                <w:sz w:val="24"/>
                <w:szCs w:val="24"/>
              </w:rPr>
            </w:pPr>
            <w:r w:rsidRPr="006B5B90">
              <w:rPr>
                <w:rFonts w:asciiTheme="minorHAnsi" w:hAnsiTheme="minorHAnsi" w:cstheme="minorHAnsi"/>
                <w:iCs/>
                <w:sz w:val="24"/>
                <w:szCs w:val="24"/>
              </w:rPr>
              <w:t>Gordon Ramsay</w:t>
            </w:r>
          </w:p>
          <w:p w14:paraId="2D0E9366" w14:textId="2243FEBB" w:rsidR="00F5265F" w:rsidRPr="005104FA" w:rsidRDefault="006B5B90" w:rsidP="006B5B90">
            <w:pPr>
              <w:spacing w:after="120"/>
              <w:rPr>
                <w:rFonts w:asciiTheme="minorHAnsi" w:hAnsiTheme="minorHAnsi" w:cstheme="minorHAnsi"/>
                <w:sz w:val="24"/>
                <w:szCs w:val="24"/>
              </w:rPr>
            </w:pPr>
            <w:r>
              <w:rPr>
                <w:rFonts w:asciiTheme="minorHAnsi" w:hAnsiTheme="minorHAnsi" w:cstheme="minorHAnsi"/>
                <w:iCs/>
                <w:sz w:val="24"/>
                <w:szCs w:val="24"/>
              </w:rPr>
              <w:t>Chief Executive Officer</w:t>
            </w:r>
            <w:r w:rsidR="00F5265F" w:rsidRPr="005104FA">
              <w:rPr>
                <w:rFonts w:asciiTheme="minorHAnsi" w:hAnsiTheme="minorHAnsi" w:cstheme="minorHAnsi"/>
                <w:sz w:val="24"/>
                <w:szCs w:val="24"/>
              </w:rPr>
              <w:br/>
              <w:t>Cultural Facilities Corporation</w:t>
            </w:r>
          </w:p>
        </w:tc>
      </w:tr>
      <w:tr w:rsidR="00F5265F" w:rsidRPr="005104FA" w14:paraId="2E602DB3" w14:textId="77777777" w:rsidTr="001B4B10">
        <w:tc>
          <w:tcPr>
            <w:tcW w:w="3544" w:type="dxa"/>
          </w:tcPr>
          <w:p w14:paraId="666B5603" w14:textId="08CA7647" w:rsidR="00F5265F" w:rsidRPr="005104FA" w:rsidRDefault="00F5265F" w:rsidP="006B5B90">
            <w:pPr>
              <w:spacing w:after="120"/>
              <w:rPr>
                <w:rFonts w:asciiTheme="minorHAnsi" w:hAnsiTheme="minorHAnsi" w:cstheme="minorHAnsi"/>
                <w:sz w:val="24"/>
                <w:szCs w:val="24"/>
              </w:rPr>
            </w:pPr>
            <w:r w:rsidRPr="005104FA">
              <w:rPr>
                <w:rFonts w:asciiTheme="minorHAnsi" w:hAnsiTheme="minorHAnsi" w:cstheme="minorHAnsi"/>
                <w:sz w:val="24"/>
                <w:szCs w:val="24"/>
              </w:rPr>
              <w:t>Date endorsed:</w:t>
            </w:r>
          </w:p>
        </w:tc>
        <w:tc>
          <w:tcPr>
            <w:tcW w:w="6204" w:type="dxa"/>
          </w:tcPr>
          <w:p w14:paraId="73F8E46D" w14:textId="3283E3E4" w:rsidR="00F5265F" w:rsidRPr="005104FA" w:rsidRDefault="006B5B90" w:rsidP="006B5B90">
            <w:pPr>
              <w:spacing w:after="120"/>
              <w:rPr>
                <w:rFonts w:asciiTheme="minorHAnsi" w:hAnsiTheme="minorHAnsi" w:cstheme="minorHAnsi"/>
                <w:i/>
                <w:sz w:val="24"/>
                <w:szCs w:val="24"/>
              </w:rPr>
            </w:pPr>
            <w:r>
              <w:rPr>
                <w:rFonts w:asciiTheme="minorHAnsi" w:hAnsiTheme="minorHAnsi" w:cstheme="minorHAnsi"/>
                <w:iCs/>
                <w:sz w:val="24"/>
                <w:szCs w:val="24"/>
              </w:rPr>
              <w:t>Date: 5/6/24</w:t>
            </w:r>
          </w:p>
        </w:tc>
      </w:tr>
      <w:tr w:rsidR="00F5265F" w:rsidRPr="005104FA" w14:paraId="0873E90B" w14:textId="77777777" w:rsidTr="001B4B10">
        <w:tc>
          <w:tcPr>
            <w:tcW w:w="3544" w:type="dxa"/>
          </w:tcPr>
          <w:p w14:paraId="3AC5E87F" w14:textId="77777777" w:rsidR="00F5265F" w:rsidRPr="005104FA" w:rsidRDefault="00F5265F" w:rsidP="006B5B90">
            <w:pPr>
              <w:spacing w:after="120"/>
              <w:rPr>
                <w:rFonts w:asciiTheme="minorHAnsi" w:hAnsiTheme="minorHAnsi" w:cstheme="minorHAnsi"/>
                <w:sz w:val="24"/>
                <w:szCs w:val="24"/>
              </w:rPr>
            </w:pPr>
            <w:r w:rsidRPr="005104FA">
              <w:rPr>
                <w:rFonts w:asciiTheme="minorHAnsi" w:hAnsiTheme="minorHAnsi" w:cstheme="minorHAnsi"/>
                <w:sz w:val="24"/>
                <w:szCs w:val="24"/>
              </w:rPr>
              <w:t>Date for review:</w:t>
            </w:r>
          </w:p>
        </w:tc>
        <w:tc>
          <w:tcPr>
            <w:tcW w:w="6204" w:type="dxa"/>
          </w:tcPr>
          <w:p w14:paraId="6881AAB5" w14:textId="77777777" w:rsidR="00F5265F" w:rsidRDefault="006B5B90" w:rsidP="006B5B90">
            <w:pPr>
              <w:spacing w:after="120"/>
              <w:rPr>
                <w:rFonts w:asciiTheme="minorHAnsi" w:hAnsiTheme="minorHAnsi" w:cstheme="minorHAnsi"/>
                <w:iCs/>
                <w:sz w:val="24"/>
                <w:szCs w:val="24"/>
              </w:rPr>
            </w:pPr>
            <w:r>
              <w:rPr>
                <w:rFonts w:asciiTheme="minorHAnsi" w:hAnsiTheme="minorHAnsi" w:cstheme="minorHAnsi"/>
                <w:iCs/>
                <w:sz w:val="24"/>
                <w:szCs w:val="24"/>
              </w:rPr>
              <w:t>Date: 5/6/2</w:t>
            </w:r>
            <w:r>
              <w:rPr>
                <w:rFonts w:asciiTheme="minorHAnsi" w:hAnsiTheme="minorHAnsi" w:cstheme="minorHAnsi"/>
                <w:iCs/>
                <w:sz w:val="24"/>
                <w:szCs w:val="24"/>
              </w:rPr>
              <w:t>9</w:t>
            </w:r>
          </w:p>
          <w:p w14:paraId="55751A04" w14:textId="46ACF00F" w:rsidR="006B5B90" w:rsidRPr="005104FA" w:rsidRDefault="006B5B90" w:rsidP="006B5B90">
            <w:pPr>
              <w:rPr>
                <w:rFonts w:asciiTheme="minorHAnsi" w:hAnsiTheme="minorHAnsi" w:cstheme="minorHAnsi"/>
                <w:i/>
                <w:sz w:val="24"/>
                <w:szCs w:val="24"/>
              </w:rPr>
            </w:pPr>
          </w:p>
        </w:tc>
      </w:tr>
      <w:tr w:rsidR="00F5265F" w:rsidRPr="005104FA" w14:paraId="314BF834" w14:textId="77777777" w:rsidTr="001B4B10">
        <w:tc>
          <w:tcPr>
            <w:tcW w:w="3544" w:type="dxa"/>
          </w:tcPr>
          <w:p w14:paraId="61BFF973" w14:textId="77777777" w:rsidR="00F5265F" w:rsidRPr="005104FA" w:rsidRDefault="00F5265F" w:rsidP="006B5B90">
            <w:pPr>
              <w:spacing w:after="120"/>
              <w:rPr>
                <w:rFonts w:asciiTheme="minorHAnsi" w:hAnsiTheme="minorHAnsi" w:cstheme="minorHAnsi"/>
                <w:sz w:val="24"/>
                <w:szCs w:val="24"/>
              </w:rPr>
            </w:pPr>
            <w:r w:rsidRPr="005104FA">
              <w:rPr>
                <w:rFonts w:asciiTheme="minorHAnsi" w:hAnsiTheme="minorHAnsi" w:cstheme="minorHAnsi"/>
                <w:sz w:val="24"/>
                <w:szCs w:val="24"/>
              </w:rPr>
              <w:t>Version:</w:t>
            </w:r>
          </w:p>
        </w:tc>
        <w:tc>
          <w:tcPr>
            <w:tcW w:w="6204" w:type="dxa"/>
          </w:tcPr>
          <w:p w14:paraId="1CD1A24C" w14:textId="77777777" w:rsidR="00F5265F" w:rsidRPr="005104FA" w:rsidRDefault="00F5265F" w:rsidP="006B5B90">
            <w:pPr>
              <w:spacing w:after="120"/>
              <w:rPr>
                <w:rFonts w:asciiTheme="minorHAnsi" w:hAnsiTheme="minorHAnsi" w:cstheme="minorHAnsi"/>
                <w:sz w:val="24"/>
                <w:szCs w:val="24"/>
              </w:rPr>
            </w:pPr>
            <w:r w:rsidRPr="005104FA">
              <w:rPr>
                <w:rFonts w:asciiTheme="minorHAnsi" w:hAnsiTheme="minorHAnsi" w:cstheme="minorHAnsi"/>
                <w:sz w:val="24"/>
                <w:szCs w:val="24"/>
              </w:rPr>
              <w:t>Version 1.0</w:t>
            </w:r>
          </w:p>
        </w:tc>
      </w:tr>
      <w:tr w:rsidR="00F5265F" w:rsidRPr="005104FA" w14:paraId="15BF1672" w14:textId="77777777" w:rsidTr="001B4B10">
        <w:tc>
          <w:tcPr>
            <w:tcW w:w="3544" w:type="dxa"/>
          </w:tcPr>
          <w:p w14:paraId="4A7DBE61" w14:textId="77777777" w:rsidR="00F5265F" w:rsidRPr="005104FA" w:rsidRDefault="00F5265F" w:rsidP="001B4B10">
            <w:pPr>
              <w:rPr>
                <w:sz w:val="24"/>
                <w:szCs w:val="24"/>
              </w:rPr>
            </w:pPr>
          </w:p>
        </w:tc>
        <w:tc>
          <w:tcPr>
            <w:tcW w:w="6204" w:type="dxa"/>
          </w:tcPr>
          <w:p w14:paraId="54FD60C2" w14:textId="77777777" w:rsidR="00F5265F" w:rsidRDefault="00F5265F" w:rsidP="001B4B10">
            <w:pPr>
              <w:jc w:val="right"/>
              <w:rPr>
                <w:noProof/>
              </w:rPr>
            </w:pPr>
          </w:p>
          <w:p w14:paraId="1775E44C" w14:textId="77777777" w:rsidR="00F5265F" w:rsidRDefault="00F5265F" w:rsidP="001B4B10">
            <w:pPr>
              <w:jc w:val="right"/>
              <w:rPr>
                <w:noProof/>
              </w:rPr>
            </w:pPr>
          </w:p>
          <w:p w14:paraId="20C3E7B7" w14:textId="77777777" w:rsidR="00F5265F" w:rsidRDefault="00F5265F" w:rsidP="001B4B10">
            <w:pPr>
              <w:jc w:val="right"/>
              <w:rPr>
                <w:noProof/>
              </w:rPr>
            </w:pPr>
          </w:p>
          <w:p w14:paraId="4061E9E8" w14:textId="77777777" w:rsidR="00F5265F" w:rsidRDefault="00F5265F" w:rsidP="001B4B10">
            <w:pPr>
              <w:jc w:val="right"/>
              <w:rPr>
                <w:noProof/>
              </w:rPr>
            </w:pPr>
          </w:p>
          <w:p w14:paraId="07573A0F" w14:textId="77777777" w:rsidR="00F5265F" w:rsidRDefault="00F5265F" w:rsidP="001B4B10">
            <w:pPr>
              <w:jc w:val="right"/>
              <w:rPr>
                <w:noProof/>
              </w:rPr>
            </w:pPr>
          </w:p>
          <w:p w14:paraId="385AFD95" w14:textId="77777777" w:rsidR="00F5265F" w:rsidRPr="005104FA" w:rsidRDefault="00F5265F" w:rsidP="001B4B10">
            <w:pPr>
              <w:jc w:val="right"/>
              <w:rPr>
                <w:sz w:val="24"/>
                <w:szCs w:val="24"/>
              </w:rPr>
            </w:pPr>
          </w:p>
        </w:tc>
      </w:tr>
    </w:tbl>
    <w:p w14:paraId="539C9937" w14:textId="77777777" w:rsidR="0081564F" w:rsidRDefault="0081564F" w:rsidP="0081564F">
      <w:pPr>
        <w:spacing w:before="100" w:beforeAutospacing="1" w:after="100" w:afterAutospacing="1" w:line="240" w:lineRule="auto"/>
        <w:jc w:val="center"/>
        <w:outlineLvl w:val="0"/>
        <w:rPr>
          <w:rFonts w:ascii="Montserrat" w:eastAsia="Times New Roman" w:hAnsi="Montserrat" w:cs="Times New Roman"/>
          <w:b/>
          <w:bCs/>
          <w:color w:val="313131"/>
          <w:kern w:val="36"/>
          <w:sz w:val="48"/>
          <w:szCs w:val="48"/>
          <w:lang w:eastAsia="en-AU"/>
          <w14:ligatures w14:val="none"/>
        </w:rPr>
      </w:pPr>
    </w:p>
    <w:p w14:paraId="40D5D814" w14:textId="77777777" w:rsidR="0081564F" w:rsidRDefault="0081564F" w:rsidP="0081564F">
      <w:pPr>
        <w:spacing w:before="100" w:beforeAutospacing="1" w:after="100" w:afterAutospacing="1" w:line="240" w:lineRule="auto"/>
        <w:jc w:val="center"/>
        <w:outlineLvl w:val="0"/>
        <w:rPr>
          <w:rFonts w:ascii="Montserrat" w:eastAsia="Times New Roman" w:hAnsi="Montserrat" w:cs="Times New Roman"/>
          <w:b/>
          <w:bCs/>
          <w:color w:val="313131"/>
          <w:kern w:val="36"/>
          <w:sz w:val="48"/>
          <w:szCs w:val="48"/>
          <w:lang w:eastAsia="en-AU"/>
          <w14:ligatures w14:val="none"/>
        </w:rPr>
      </w:pPr>
    </w:p>
    <w:p w14:paraId="3B7B3E11" w14:textId="77777777" w:rsidR="0081564F" w:rsidRDefault="0081564F" w:rsidP="0081564F">
      <w:pPr>
        <w:spacing w:before="100" w:beforeAutospacing="1" w:after="100" w:afterAutospacing="1" w:line="240" w:lineRule="auto"/>
        <w:jc w:val="center"/>
        <w:outlineLvl w:val="0"/>
        <w:rPr>
          <w:rFonts w:ascii="Montserrat" w:eastAsia="Times New Roman" w:hAnsi="Montserrat" w:cs="Times New Roman"/>
          <w:b/>
          <w:bCs/>
          <w:color w:val="313131"/>
          <w:kern w:val="36"/>
          <w:sz w:val="48"/>
          <w:szCs w:val="48"/>
          <w:lang w:eastAsia="en-AU"/>
          <w14:ligatures w14:val="none"/>
        </w:rPr>
      </w:pPr>
    </w:p>
    <w:p w14:paraId="03F755FA" w14:textId="7A3D5418" w:rsidR="005A6665" w:rsidRPr="006A3CE5" w:rsidRDefault="0081564F" w:rsidP="0081564F">
      <w:pPr>
        <w:spacing w:before="100" w:beforeAutospacing="1" w:after="100" w:afterAutospacing="1" w:line="240" w:lineRule="auto"/>
        <w:jc w:val="center"/>
        <w:outlineLvl w:val="0"/>
        <w:rPr>
          <w:rFonts w:eastAsia="Times New Roman" w:cstheme="minorHAnsi"/>
          <w:b/>
          <w:bCs/>
          <w:color w:val="313131"/>
          <w:kern w:val="36"/>
          <w:sz w:val="40"/>
          <w:szCs w:val="40"/>
          <w:lang w:eastAsia="en-AU"/>
          <w14:ligatures w14:val="none"/>
        </w:rPr>
      </w:pPr>
      <w:r w:rsidRPr="006A3CE5">
        <w:rPr>
          <w:rFonts w:eastAsia="Times New Roman" w:cstheme="minorHAnsi"/>
          <w:b/>
          <w:bCs/>
          <w:color w:val="313131"/>
          <w:kern w:val="36"/>
          <w:sz w:val="40"/>
          <w:szCs w:val="40"/>
          <w:lang w:eastAsia="en-AU"/>
          <w14:ligatures w14:val="none"/>
        </w:rPr>
        <w:t>OPEN ACCESS COMPLIANCE STRATEGY</w:t>
      </w:r>
    </w:p>
    <w:p w14:paraId="5417E0AB" w14:textId="77777777" w:rsidR="0081564F" w:rsidRDefault="0081564F" w:rsidP="005A6665">
      <w:pPr>
        <w:spacing w:before="100" w:beforeAutospacing="1" w:after="100" w:afterAutospacing="1" w:line="240" w:lineRule="auto"/>
        <w:outlineLvl w:val="0"/>
        <w:rPr>
          <w:rFonts w:ascii="Montserrat" w:eastAsia="Times New Roman" w:hAnsi="Montserrat" w:cs="Times New Roman"/>
          <w:b/>
          <w:bCs/>
          <w:color w:val="313131"/>
          <w:kern w:val="36"/>
          <w:sz w:val="48"/>
          <w:szCs w:val="48"/>
          <w:lang w:eastAsia="en-AU"/>
          <w14:ligatures w14:val="none"/>
        </w:rPr>
      </w:pPr>
    </w:p>
    <w:p w14:paraId="758B40AC" w14:textId="77777777" w:rsidR="0081564F" w:rsidRDefault="0081564F" w:rsidP="005A6665">
      <w:pPr>
        <w:spacing w:before="100" w:beforeAutospacing="1" w:after="100" w:afterAutospacing="1" w:line="240" w:lineRule="auto"/>
        <w:outlineLvl w:val="0"/>
        <w:rPr>
          <w:rFonts w:ascii="Montserrat" w:eastAsia="Times New Roman" w:hAnsi="Montserrat" w:cs="Times New Roman"/>
          <w:b/>
          <w:bCs/>
          <w:color w:val="313131"/>
          <w:kern w:val="36"/>
          <w:sz w:val="48"/>
          <w:szCs w:val="48"/>
          <w:lang w:eastAsia="en-AU"/>
          <w14:ligatures w14:val="none"/>
        </w:rPr>
      </w:pPr>
    </w:p>
    <w:p w14:paraId="1355D2C1" w14:textId="77777777" w:rsidR="0081564F" w:rsidRDefault="0081564F" w:rsidP="005A6665">
      <w:pPr>
        <w:spacing w:before="100" w:beforeAutospacing="1" w:after="100" w:afterAutospacing="1" w:line="240" w:lineRule="auto"/>
        <w:outlineLvl w:val="0"/>
        <w:rPr>
          <w:rFonts w:ascii="Montserrat" w:eastAsia="Times New Roman" w:hAnsi="Montserrat" w:cs="Times New Roman"/>
          <w:b/>
          <w:bCs/>
          <w:color w:val="313131"/>
          <w:kern w:val="36"/>
          <w:sz w:val="48"/>
          <w:szCs w:val="48"/>
          <w:lang w:eastAsia="en-AU"/>
          <w14:ligatures w14:val="none"/>
        </w:rPr>
      </w:pPr>
    </w:p>
    <w:p w14:paraId="61C07B13" w14:textId="77777777" w:rsidR="0081564F" w:rsidRDefault="0081564F" w:rsidP="005A6665">
      <w:pPr>
        <w:spacing w:before="100" w:beforeAutospacing="1" w:after="100" w:afterAutospacing="1" w:line="240" w:lineRule="auto"/>
        <w:outlineLvl w:val="0"/>
        <w:rPr>
          <w:rFonts w:ascii="Montserrat" w:eastAsia="Times New Roman" w:hAnsi="Montserrat" w:cs="Times New Roman"/>
          <w:b/>
          <w:bCs/>
          <w:color w:val="313131"/>
          <w:kern w:val="36"/>
          <w:sz w:val="48"/>
          <w:szCs w:val="48"/>
          <w:lang w:eastAsia="en-AU"/>
          <w14:ligatures w14:val="none"/>
        </w:rPr>
      </w:pPr>
    </w:p>
    <w:p w14:paraId="6643B028" w14:textId="77777777" w:rsidR="0081564F" w:rsidRDefault="0081564F" w:rsidP="005A6665">
      <w:pPr>
        <w:spacing w:before="100" w:beforeAutospacing="1" w:after="100" w:afterAutospacing="1" w:line="240" w:lineRule="auto"/>
        <w:outlineLvl w:val="0"/>
        <w:rPr>
          <w:rFonts w:ascii="Montserrat" w:eastAsia="Times New Roman" w:hAnsi="Montserrat" w:cs="Times New Roman"/>
          <w:b/>
          <w:bCs/>
          <w:color w:val="313131"/>
          <w:kern w:val="36"/>
          <w:sz w:val="48"/>
          <w:szCs w:val="48"/>
          <w:lang w:eastAsia="en-AU"/>
          <w14:ligatures w14:val="none"/>
        </w:rPr>
      </w:pPr>
    </w:p>
    <w:p w14:paraId="0E892AEB" w14:textId="51C5B8E1" w:rsidR="005A6665" w:rsidRPr="006A3CE5" w:rsidRDefault="0081564F" w:rsidP="0081564F">
      <w:pPr>
        <w:spacing w:before="100" w:beforeAutospacing="1" w:after="100" w:afterAutospacing="1" w:line="240" w:lineRule="auto"/>
        <w:jc w:val="center"/>
        <w:outlineLvl w:val="0"/>
        <w:rPr>
          <w:rFonts w:eastAsia="Times New Roman" w:cstheme="minorHAnsi"/>
          <w:b/>
          <w:bCs/>
          <w:color w:val="313131"/>
          <w:kern w:val="36"/>
          <w:sz w:val="40"/>
          <w:szCs w:val="40"/>
          <w:lang w:eastAsia="en-AU"/>
          <w14:ligatures w14:val="none"/>
        </w:rPr>
      </w:pPr>
      <w:r w:rsidRPr="006A3CE5">
        <w:rPr>
          <w:rFonts w:eastAsia="Times New Roman" w:cstheme="minorHAnsi"/>
          <w:b/>
          <w:bCs/>
          <w:color w:val="313131"/>
          <w:kern w:val="36"/>
          <w:sz w:val="40"/>
          <w:szCs w:val="40"/>
          <w:lang w:eastAsia="en-AU"/>
          <w14:ligatures w14:val="none"/>
        </w:rPr>
        <w:t>Cultural Facilities Corporation</w:t>
      </w:r>
      <w:r w:rsidR="002C4E8F" w:rsidRPr="006A3CE5">
        <w:rPr>
          <w:rFonts w:eastAsia="Times New Roman" w:cstheme="minorHAnsi"/>
          <w:b/>
          <w:bCs/>
          <w:color w:val="313131"/>
          <w:kern w:val="36"/>
          <w:sz w:val="40"/>
          <w:szCs w:val="40"/>
          <w:lang w:eastAsia="en-AU"/>
          <w14:ligatures w14:val="none"/>
        </w:rPr>
        <w:t xml:space="preserve"> (CFC)</w:t>
      </w:r>
    </w:p>
    <w:p w14:paraId="7E5A6AA3" w14:textId="0E61B302" w:rsidR="0081564F" w:rsidRPr="006A3CE5" w:rsidRDefault="00683722" w:rsidP="0081564F">
      <w:pPr>
        <w:spacing w:before="100" w:beforeAutospacing="1" w:after="100" w:afterAutospacing="1" w:line="240" w:lineRule="auto"/>
        <w:jc w:val="center"/>
        <w:outlineLvl w:val="0"/>
        <w:rPr>
          <w:rFonts w:eastAsia="Times New Roman" w:cstheme="minorHAnsi"/>
          <w:b/>
          <w:bCs/>
          <w:color w:val="313131"/>
          <w:kern w:val="36"/>
          <w:sz w:val="40"/>
          <w:szCs w:val="40"/>
          <w:lang w:eastAsia="en-AU"/>
          <w14:ligatures w14:val="none"/>
        </w:rPr>
      </w:pPr>
      <w:r>
        <w:rPr>
          <w:rFonts w:eastAsia="Times New Roman" w:cstheme="minorHAnsi"/>
          <w:b/>
          <w:bCs/>
          <w:color w:val="313131"/>
          <w:kern w:val="36"/>
          <w:sz w:val="40"/>
          <w:szCs w:val="40"/>
          <w:lang w:eastAsia="en-AU"/>
          <w14:ligatures w14:val="none"/>
        </w:rPr>
        <w:t>June</w:t>
      </w:r>
      <w:r w:rsidR="0081564F" w:rsidRPr="006A3CE5">
        <w:rPr>
          <w:rFonts w:eastAsia="Times New Roman" w:cstheme="minorHAnsi"/>
          <w:b/>
          <w:bCs/>
          <w:color w:val="313131"/>
          <w:kern w:val="36"/>
          <w:sz w:val="40"/>
          <w:szCs w:val="40"/>
          <w:lang w:eastAsia="en-AU"/>
          <w14:ligatures w14:val="none"/>
        </w:rPr>
        <w:t xml:space="preserve"> 2024</w:t>
      </w:r>
    </w:p>
    <w:p w14:paraId="641E9A26" w14:textId="77777777" w:rsidR="0081564F" w:rsidRDefault="0081564F">
      <w:pPr>
        <w:rPr>
          <w:rFonts w:ascii="Montserrat" w:eastAsia="Times New Roman" w:hAnsi="Montserrat" w:cs="Times New Roman"/>
          <w:b/>
          <w:bCs/>
          <w:color w:val="313131"/>
          <w:kern w:val="36"/>
          <w:sz w:val="24"/>
          <w:szCs w:val="24"/>
          <w:lang w:eastAsia="en-AU"/>
          <w14:ligatures w14:val="none"/>
        </w:rPr>
      </w:pPr>
      <w:r>
        <w:rPr>
          <w:rFonts w:ascii="Montserrat" w:eastAsia="Times New Roman" w:hAnsi="Montserrat" w:cs="Times New Roman"/>
          <w:b/>
          <w:bCs/>
          <w:color w:val="313131"/>
          <w:kern w:val="36"/>
          <w:sz w:val="24"/>
          <w:szCs w:val="24"/>
          <w:lang w:eastAsia="en-AU"/>
          <w14:ligatures w14:val="none"/>
        </w:rPr>
        <w:br w:type="page"/>
      </w:r>
    </w:p>
    <w:p w14:paraId="152067FD" w14:textId="77777777" w:rsidR="006A3CE5" w:rsidRPr="006A3CE5" w:rsidRDefault="006A3CE5" w:rsidP="00B4527D">
      <w:pPr>
        <w:autoSpaceDE w:val="0"/>
        <w:autoSpaceDN w:val="0"/>
        <w:adjustRightInd w:val="0"/>
        <w:spacing w:after="0" w:line="240" w:lineRule="auto"/>
        <w:rPr>
          <w:rFonts w:cstheme="minorHAnsi"/>
          <w:b/>
          <w:bCs/>
        </w:rPr>
      </w:pPr>
      <w:r w:rsidRPr="006A3CE5">
        <w:rPr>
          <w:rFonts w:cstheme="minorHAnsi"/>
          <w:b/>
          <w:bCs/>
        </w:rPr>
        <w:lastRenderedPageBreak/>
        <w:t>CFC Open Access Compliance Strategy</w:t>
      </w:r>
    </w:p>
    <w:p w14:paraId="5E116F90" w14:textId="77777777" w:rsidR="006A3CE5" w:rsidRDefault="006A3CE5" w:rsidP="00B4527D">
      <w:pPr>
        <w:autoSpaceDE w:val="0"/>
        <w:autoSpaceDN w:val="0"/>
        <w:adjustRightInd w:val="0"/>
        <w:spacing w:after="0" w:line="240" w:lineRule="auto"/>
        <w:rPr>
          <w:rFonts w:cstheme="minorHAnsi"/>
        </w:rPr>
      </w:pPr>
    </w:p>
    <w:p w14:paraId="560C8238" w14:textId="77777777" w:rsidR="006A3CE5" w:rsidRPr="006A3CE5" w:rsidRDefault="006A3CE5" w:rsidP="00B4527D">
      <w:pPr>
        <w:autoSpaceDE w:val="0"/>
        <w:autoSpaceDN w:val="0"/>
        <w:adjustRightInd w:val="0"/>
        <w:spacing w:after="0" w:line="240" w:lineRule="auto"/>
        <w:rPr>
          <w:rFonts w:cstheme="minorHAnsi"/>
          <w:b/>
          <w:bCs/>
        </w:rPr>
      </w:pPr>
      <w:r w:rsidRPr="006A3CE5">
        <w:rPr>
          <w:rFonts w:cstheme="minorHAnsi"/>
          <w:b/>
          <w:bCs/>
        </w:rPr>
        <w:t>Background</w:t>
      </w:r>
    </w:p>
    <w:p w14:paraId="62193CC3" w14:textId="77777777" w:rsidR="006A3CE5" w:rsidRDefault="006A3CE5" w:rsidP="00B4527D">
      <w:pPr>
        <w:autoSpaceDE w:val="0"/>
        <w:autoSpaceDN w:val="0"/>
        <w:adjustRightInd w:val="0"/>
        <w:spacing w:after="0" w:line="240" w:lineRule="auto"/>
        <w:rPr>
          <w:rFonts w:cstheme="minorHAnsi"/>
        </w:rPr>
      </w:pPr>
    </w:p>
    <w:p w14:paraId="67BA69AB" w14:textId="24A1D8F0" w:rsidR="00385C09" w:rsidRDefault="00385C09" w:rsidP="00B4527D">
      <w:pPr>
        <w:autoSpaceDE w:val="0"/>
        <w:autoSpaceDN w:val="0"/>
        <w:adjustRightInd w:val="0"/>
        <w:spacing w:after="0" w:line="240" w:lineRule="auto"/>
        <w:rPr>
          <w:rFonts w:cstheme="minorHAnsi"/>
          <w:kern w:val="0"/>
        </w:rPr>
      </w:pPr>
      <w:r w:rsidRPr="00333880">
        <w:rPr>
          <w:rFonts w:cstheme="minorHAnsi"/>
        </w:rPr>
        <w:t xml:space="preserve">In January 2018 the </w:t>
      </w:r>
      <w:bookmarkStart w:id="0" w:name="_Hlk168055787"/>
      <w:r w:rsidR="00344F4A">
        <w:fldChar w:fldCharType="begin"/>
      </w:r>
      <w:r w:rsidR="00344F4A">
        <w:instrText>HYPERLINK "https://www.legislation.act.gov.au/View/a/2016-55/current/html/2016-55.html"</w:instrText>
      </w:r>
      <w:r w:rsidR="00344F4A">
        <w:fldChar w:fldCharType="separate"/>
      </w:r>
      <w:r w:rsidR="00115114" w:rsidRPr="00333880">
        <w:rPr>
          <w:rStyle w:val="charcithyperlinkital"/>
          <w:rFonts w:eastAsia="Times New Roman" w:cstheme="minorHAnsi"/>
          <w:i/>
          <w:iCs/>
          <w:color w:val="0000FF"/>
          <w:kern w:val="0"/>
          <w:lang w:eastAsia="en-AU"/>
          <w14:ligatures w14:val="none"/>
        </w:rPr>
        <w:t>Freedom of Information Act 2016</w:t>
      </w:r>
      <w:r w:rsidR="00344F4A">
        <w:rPr>
          <w:rStyle w:val="charcithyperlinkital"/>
          <w:rFonts w:eastAsia="Times New Roman" w:cstheme="minorHAnsi"/>
          <w:i/>
          <w:iCs/>
          <w:color w:val="0000FF"/>
          <w:kern w:val="0"/>
          <w:lang w:eastAsia="en-AU"/>
          <w14:ligatures w14:val="none"/>
        </w:rPr>
        <w:fldChar w:fldCharType="end"/>
      </w:r>
      <w:r w:rsidR="00115114" w:rsidRPr="00333880">
        <w:rPr>
          <w:rFonts w:cstheme="minorHAnsi"/>
        </w:rPr>
        <w:t xml:space="preserve"> </w:t>
      </w:r>
      <w:r w:rsidRPr="00333880">
        <w:rPr>
          <w:rFonts w:cstheme="minorHAnsi"/>
        </w:rPr>
        <w:t>(The FOI Act)</w:t>
      </w:r>
      <w:bookmarkEnd w:id="0"/>
      <w:r w:rsidRPr="00333880">
        <w:rPr>
          <w:rFonts w:cstheme="minorHAnsi"/>
        </w:rPr>
        <w:t xml:space="preserve"> introduced the </w:t>
      </w:r>
      <w:r w:rsidR="00B95E75">
        <w:rPr>
          <w:rFonts w:cstheme="minorHAnsi"/>
          <w:i/>
          <w:iCs/>
        </w:rPr>
        <w:t>o</w:t>
      </w:r>
      <w:r w:rsidR="00B95E75" w:rsidRPr="002320AF">
        <w:rPr>
          <w:rFonts w:cstheme="minorHAnsi"/>
          <w:i/>
          <w:iCs/>
        </w:rPr>
        <w:t xml:space="preserve">pen </w:t>
      </w:r>
      <w:r w:rsidR="00B95E75">
        <w:rPr>
          <w:rFonts w:cstheme="minorHAnsi"/>
          <w:i/>
          <w:iCs/>
        </w:rPr>
        <w:t>a</w:t>
      </w:r>
      <w:r w:rsidR="00B95E75" w:rsidRPr="002320AF">
        <w:rPr>
          <w:rFonts w:cstheme="minorHAnsi"/>
          <w:i/>
          <w:iCs/>
        </w:rPr>
        <w:t>ccess</w:t>
      </w:r>
      <w:r w:rsidR="00B95E75" w:rsidRPr="00333880">
        <w:rPr>
          <w:rFonts w:cstheme="minorHAnsi"/>
        </w:rPr>
        <w:t xml:space="preserve"> </w:t>
      </w:r>
      <w:r w:rsidRPr="00333880">
        <w:rPr>
          <w:rFonts w:cstheme="minorHAnsi"/>
        </w:rPr>
        <w:t xml:space="preserve">regime that ensures regular disclosure of certain categories of </w:t>
      </w:r>
      <w:r w:rsidR="00B95E75">
        <w:rPr>
          <w:rFonts w:cstheme="minorHAnsi"/>
        </w:rPr>
        <w:t>g</w:t>
      </w:r>
      <w:r w:rsidR="00B95E75" w:rsidRPr="00333880">
        <w:rPr>
          <w:rFonts w:cstheme="minorHAnsi"/>
        </w:rPr>
        <w:t xml:space="preserve">overnment </w:t>
      </w:r>
      <w:r w:rsidR="002320AF">
        <w:rPr>
          <w:rFonts w:cstheme="minorHAnsi"/>
        </w:rPr>
        <w:t>i</w:t>
      </w:r>
      <w:r w:rsidRPr="00333880">
        <w:rPr>
          <w:rFonts w:cstheme="minorHAnsi"/>
        </w:rPr>
        <w:t xml:space="preserve">nformation. </w:t>
      </w:r>
      <w:r w:rsidR="005042CF" w:rsidRPr="00333880">
        <w:rPr>
          <w:rFonts w:cstheme="minorHAnsi"/>
          <w:kern w:val="0"/>
        </w:rPr>
        <w:t xml:space="preserve">Open </w:t>
      </w:r>
      <w:r w:rsidR="00B95E75">
        <w:rPr>
          <w:rFonts w:cstheme="minorHAnsi"/>
          <w:kern w:val="0"/>
        </w:rPr>
        <w:t>a</w:t>
      </w:r>
      <w:r w:rsidR="00B95E75" w:rsidRPr="00333880">
        <w:rPr>
          <w:rFonts w:cstheme="minorHAnsi"/>
          <w:kern w:val="0"/>
        </w:rPr>
        <w:t xml:space="preserve">ccess </w:t>
      </w:r>
      <w:r w:rsidR="005042CF" w:rsidRPr="00333880">
        <w:rPr>
          <w:rFonts w:cstheme="minorHAnsi"/>
          <w:kern w:val="0"/>
        </w:rPr>
        <w:t>information is government information which must be routinely published</w:t>
      </w:r>
      <w:r w:rsidR="00B9390C" w:rsidRPr="00333880">
        <w:rPr>
          <w:rFonts w:cstheme="minorHAnsi"/>
          <w:kern w:val="0"/>
        </w:rPr>
        <w:t xml:space="preserve">, </w:t>
      </w:r>
      <w:r w:rsidR="002320AF" w:rsidRPr="00333880">
        <w:rPr>
          <w:rFonts w:cstheme="minorHAnsi"/>
          <w:kern w:val="0"/>
        </w:rPr>
        <w:t>modified,</w:t>
      </w:r>
      <w:r w:rsidR="00B9390C" w:rsidRPr="00333880">
        <w:rPr>
          <w:rFonts w:cstheme="minorHAnsi"/>
          <w:kern w:val="0"/>
        </w:rPr>
        <w:t xml:space="preserve"> and reviewed under </w:t>
      </w:r>
      <w:r w:rsidR="00420F99">
        <w:rPr>
          <w:rFonts w:cstheme="minorHAnsi"/>
          <w:kern w:val="0"/>
        </w:rPr>
        <w:t>Part 4, Sections 23 and 24 of the</w:t>
      </w:r>
      <w:r w:rsidR="005042CF" w:rsidRPr="00333880">
        <w:rPr>
          <w:rFonts w:cstheme="minorHAnsi"/>
          <w:kern w:val="0"/>
        </w:rPr>
        <w:t xml:space="preserve"> FOI Act</w:t>
      </w:r>
      <w:r w:rsidR="00020555" w:rsidRPr="00333880">
        <w:rPr>
          <w:rFonts w:cstheme="minorHAnsi"/>
          <w:kern w:val="0"/>
        </w:rPr>
        <w:t>.</w:t>
      </w:r>
    </w:p>
    <w:p w14:paraId="5FDF67FF" w14:textId="77777777" w:rsidR="00420F99" w:rsidRDefault="00420F99" w:rsidP="00B4527D">
      <w:pPr>
        <w:autoSpaceDE w:val="0"/>
        <w:autoSpaceDN w:val="0"/>
        <w:adjustRightInd w:val="0"/>
        <w:spacing w:after="0" w:line="240" w:lineRule="auto"/>
        <w:rPr>
          <w:rFonts w:cstheme="minorHAnsi"/>
          <w:kern w:val="0"/>
        </w:rPr>
      </w:pPr>
    </w:p>
    <w:p w14:paraId="77BBFD4A" w14:textId="4B30CC48" w:rsidR="005042CF" w:rsidRPr="00420F99" w:rsidRDefault="00420F99" w:rsidP="00B4527D">
      <w:pPr>
        <w:pStyle w:val="Default"/>
        <w:rPr>
          <w:rFonts w:asciiTheme="minorHAnsi" w:hAnsiTheme="minorHAnsi" w:cstheme="minorHAnsi"/>
          <w:color w:val="auto"/>
          <w:sz w:val="22"/>
          <w:szCs w:val="22"/>
        </w:rPr>
      </w:pPr>
      <w:r w:rsidRPr="00420F99">
        <w:rPr>
          <w:rFonts w:asciiTheme="minorHAnsi" w:hAnsiTheme="minorHAnsi" w:cstheme="minorHAnsi"/>
          <w:color w:val="auto"/>
          <w:sz w:val="22"/>
          <w:szCs w:val="22"/>
        </w:rPr>
        <w:t xml:space="preserve">Section 23 of the FOI Act sets out the types of information considered to be open access information. Section 24 provides that an agency or </w:t>
      </w:r>
      <w:r w:rsidR="00B95E75">
        <w:rPr>
          <w:rFonts w:asciiTheme="minorHAnsi" w:hAnsiTheme="minorHAnsi" w:cstheme="minorHAnsi"/>
          <w:color w:val="auto"/>
          <w:sz w:val="22"/>
          <w:szCs w:val="22"/>
        </w:rPr>
        <w:t>m</w:t>
      </w:r>
      <w:r w:rsidR="00B95E75" w:rsidRPr="00420F99">
        <w:rPr>
          <w:rFonts w:asciiTheme="minorHAnsi" w:hAnsiTheme="minorHAnsi" w:cstheme="minorHAnsi"/>
          <w:color w:val="auto"/>
          <w:sz w:val="22"/>
          <w:szCs w:val="22"/>
        </w:rPr>
        <w:t xml:space="preserve">inister </w:t>
      </w:r>
      <w:r w:rsidRPr="00420F99">
        <w:rPr>
          <w:rFonts w:asciiTheme="minorHAnsi" w:hAnsiTheme="minorHAnsi" w:cstheme="minorHAnsi"/>
          <w:color w:val="auto"/>
          <w:sz w:val="22"/>
          <w:szCs w:val="22"/>
        </w:rPr>
        <w:t xml:space="preserve">must make open access information publicly available unless it is assessed as being contrary to the public interest information under </w:t>
      </w:r>
      <w:r w:rsidR="002320AF">
        <w:rPr>
          <w:rFonts w:asciiTheme="minorHAnsi" w:hAnsiTheme="minorHAnsi" w:cstheme="minorHAnsi"/>
          <w:color w:val="auto"/>
          <w:sz w:val="22"/>
          <w:szCs w:val="22"/>
        </w:rPr>
        <w:t xml:space="preserve">Section </w:t>
      </w:r>
      <w:r w:rsidR="002320AF" w:rsidRPr="00420F99">
        <w:rPr>
          <w:rFonts w:asciiTheme="minorHAnsi" w:hAnsiTheme="minorHAnsi" w:cstheme="minorHAnsi"/>
          <w:color w:val="auto"/>
          <w:sz w:val="22"/>
          <w:szCs w:val="22"/>
        </w:rPr>
        <w:t xml:space="preserve">6 </w:t>
      </w:r>
      <w:r w:rsidRPr="00420F99">
        <w:rPr>
          <w:rFonts w:asciiTheme="minorHAnsi" w:hAnsiTheme="minorHAnsi" w:cstheme="minorHAnsi"/>
          <w:color w:val="auto"/>
          <w:sz w:val="22"/>
          <w:szCs w:val="22"/>
        </w:rPr>
        <w:t>of the FOI Act.</w:t>
      </w:r>
    </w:p>
    <w:p w14:paraId="716A969A" w14:textId="77777777" w:rsidR="00420F99" w:rsidRPr="00420F99" w:rsidRDefault="00420F99" w:rsidP="00B4527D">
      <w:pPr>
        <w:pStyle w:val="Default"/>
        <w:rPr>
          <w:rFonts w:asciiTheme="minorHAnsi" w:hAnsiTheme="minorHAnsi" w:cstheme="minorHAnsi"/>
          <w:color w:val="auto"/>
          <w:sz w:val="22"/>
          <w:szCs w:val="22"/>
        </w:rPr>
      </w:pPr>
    </w:p>
    <w:p w14:paraId="3C966D01" w14:textId="3A8847B1" w:rsidR="00020555" w:rsidRDefault="00020555" w:rsidP="00B4527D">
      <w:pPr>
        <w:pStyle w:val="Header"/>
        <w:rPr>
          <w:rFonts w:cstheme="minorHAnsi"/>
        </w:rPr>
      </w:pPr>
      <w:r w:rsidRPr="00333880">
        <w:rPr>
          <w:rFonts w:cstheme="minorHAnsi"/>
        </w:rPr>
        <w:t xml:space="preserve">ACT Government organisations must support the principles of </w:t>
      </w:r>
      <w:r w:rsidR="00420F99">
        <w:rPr>
          <w:rFonts w:cstheme="minorHAnsi"/>
        </w:rPr>
        <w:t>o</w:t>
      </w:r>
      <w:r w:rsidRPr="00333880">
        <w:rPr>
          <w:rFonts w:cstheme="minorHAnsi"/>
        </w:rPr>
        <w:t xml:space="preserve">pen </w:t>
      </w:r>
      <w:r w:rsidR="00420F99">
        <w:rPr>
          <w:rFonts w:cstheme="minorHAnsi"/>
        </w:rPr>
        <w:t>a</w:t>
      </w:r>
      <w:r w:rsidRPr="00333880">
        <w:rPr>
          <w:rFonts w:cstheme="minorHAnsi"/>
        </w:rPr>
        <w:t xml:space="preserve">ccess and manage their records, information and data in a way that supports openness, ensuring they remain accessible for as long as they are required to meet accountability, legislative and business requirements, and community expectations. </w:t>
      </w:r>
      <w:r w:rsidR="00420F99" w:rsidRPr="007C4193">
        <w:rPr>
          <w:rFonts w:cstheme="minorHAnsi"/>
        </w:rPr>
        <w:t xml:space="preserve">The Cultural Facilities Corporation (CFC) is committed to meeting its obligations under the </w:t>
      </w:r>
      <w:r w:rsidR="00420F99">
        <w:rPr>
          <w:rFonts w:cstheme="minorHAnsi"/>
        </w:rPr>
        <w:t xml:space="preserve">FOI </w:t>
      </w:r>
      <w:r w:rsidR="00420F99" w:rsidRPr="007C4193">
        <w:rPr>
          <w:rFonts w:cstheme="minorHAnsi"/>
        </w:rPr>
        <w:t>Act</w:t>
      </w:r>
      <w:r w:rsidR="008018C3">
        <w:rPr>
          <w:rFonts w:cstheme="minorHAnsi"/>
        </w:rPr>
        <w:t>.</w:t>
      </w:r>
    </w:p>
    <w:p w14:paraId="5CC2A1F6" w14:textId="77777777" w:rsidR="008018C3" w:rsidRPr="00333880" w:rsidRDefault="008018C3" w:rsidP="00B4527D">
      <w:pPr>
        <w:pStyle w:val="Header"/>
        <w:rPr>
          <w:rFonts w:cstheme="minorHAnsi"/>
        </w:rPr>
      </w:pPr>
    </w:p>
    <w:p w14:paraId="51BB220B" w14:textId="36AE44EA" w:rsidR="00020555" w:rsidRPr="00333880" w:rsidRDefault="00020555" w:rsidP="00B4527D">
      <w:pPr>
        <w:autoSpaceDE w:val="0"/>
        <w:autoSpaceDN w:val="0"/>
        <w:adjustRightInd w:val="0"/>
        <w:spacing w:after="0" w:line="240" w:lineRule="auto"/>
        <w:rPr>
          <w:rFonts w:cstheme="minorHAnsi"/>
        </w:rPr>
      </w:pPr>
      <w:r w:rsidRPr="00333880">
        <w:rPr>
          <w:rFonts w:cstheme="minorHAnsi"/>
          <w:kern w:val="0"/>
        </w:rPr>
        <w:t xml:space="preserve">The CFC recognises that the management of open access information under the FOI Act is crucial to ensuring that the CFC fully meets its legislated responsibilities and is consistent with the </w:t>
      </w:r>
      <w:r w:rsidR="00962837">
        <w:rPr>
          <w:rFonts w:cstheme="minorHAnsi"/>
          <w:kern w:val="0"/>
        </w:rPr>
        <w:t xml:space="preserve">ACT </w:t>
      </w:r>
      <w:r w:rsidRPr="00333880">
        <w:rPr>
          <w:rFonts w:cstheme="minorHAnsi"/>
          <w:kern w:val="0"/>
        </w:rPr>
        <w:t xml:space="preserve">Government’s commitment under the </w:t>
      </w:r>
      <w:r w:rsidRPr="002320AF">
        <w:rPr>
          <w:rFonts w:cstheme="minorHAnsi"/>
          <w:i/>
          <w:iCs/>
          <w:kern w:val="0"/>
        </w:rPr>
        <w:t>Parliamentary and Governing Agreement</w:t>
      </w:r>
      <w:r w:rsidRPr="00333880">
        <w:rPr>
          <w:rFonts w:cstheme="minorHAnsi"/>
          <w:kern w:val="0"/>
        </w:rPr>
        <w:t xml:space="preserve"> to increase open and transparent access to government information. T</w:t>
      </w:r>
      <w:r w:rsidRPr="00333880">
        <w:rPr>
          <w:rFonts w:cstheme="minorHAnsi"/>
        </w:rPr>
        <w:t xml:space="preserve">he CFC is responsible for identifying its </w:t>
      </w:r>
      <w:r w:rsidR="00962837">
        <w:rPr>
          <w:rFonts w:cstheme="minorHAnsi"/>
        </w:rPr>
        <w:t>g</w:t>
      </w:r>
      <w:r w:rsidR="00962837" w:rsidRPr="00333880">
        <w:rPr>
          <w:rFonts w:cstheme="minorHAnsi"/>
        </w:rPr>
        <w:t xml:space="preserve">overnment </w:t>
      </w:r>
      <w:r w:rsidR="002320AF">
        <w:rPr>
          <w:rFonts w:cstheme="minorHAnsi"/>
        </w:rPr>
        <w:t>i</w:t>
      </w:r>
      <w:r w:rsidRPr="00333880">
        <w:rPr>
          <w:rFonts w:cstheme="minorHAnsi"/>
        </w:rPr>
        <w:t xml:space="preserve">nformation that falls within the requirements of </w:t>
      </w:r>
      <w:r w:rsidR="00D30C78">
        <w:rPr>
          <w:rFonts w:cstheme="minorHAnsi"/>
        </w:rPr>
        <w:t>o</w:t>
      </w:r>
      <w:r w:rsidRPr="00333880">
        <w:rPr>
          <w:rFonts w:cstheme="minorHAnsi"/>
        </w:rPr>
        <w:t xml:space="preserve">pen </w:t>
      </w:r>
      <w:r w:rsidR="00D30C78">
        <w:rPr>
          <w:rFonts w:cstheme="minorHAnsi"/>
        </w:rPr>
        <w:t>a</w:t>
      </w:r>
      <w:r w:rsidRPr="00333880">
        <w:rPr>
          <w:rFonts w:cstheme="minorHAnsi"/>
        </w:rPr>
        <w:t xml:space="preserve">ccess, ensuring processes are ongoing, with all new or modified documents being reviewed annually. </w:t>
      </w:r>
    </w:p>
    <w:p w14:paraId="744F3ED9" w14:textId="77777777" w:rsidR="00020555" w:rsidRPr="00333880" w:rsidRDefault="00020555" w:rsidP="00B4527D">
      <w:pPr>
        <w:autoSpaceDE w:val="0"/>
        <w:autoSpaceDN w:val="0"/>
        <w:adjustRightInd w:val="0"/>
        <w:spacing w:after="0" w:line="240" w:lineRule="auto"/>
        <w:rPr>
          <w:rFonts w:cstheme="minorHAnsi"/>
        </w:rPr>
      </w:pPr>
    </w:p>
    <w:p w14:paraId="05D68BEF" w14:textId="1908556D" w:rsidR="0041538F" w:rsidRDefault="009F5E89" w:rsidP="00B4527D">
      <w:pPr>
        <w:pStyle w:val="Default"/>
        <w:rPr>
          <w:rFonts w:asciiTheme="minorHAnsi" w:hAnsiTheme="minorHAnsi" w:cstheme="minorHAnsi"/>
          <w:sz w:val="22"/>
          <w:szCs w:val="22"/>
        </w:rPr>
      </w:pPr>
      <w:r w:rsidRPr="00333880">
        <w:rPr>
          <w:rFonts w:asciiTheme="minorHAnsi" w:hAnsiTheme="minorHAnsi" w:cstheme="minorHAnsi"/>
          <w:sz w:val="22"/>
          <w:szCs w:val="22"/>
        </w:rPr>
        <w:t>Government information refers to papers and other materials on which there is writing and any other material from which sounds, images or writing are capable of being reproduced and includes emails and other electronic records, post-it notes, message pads, maps, diagrams, plans, photographs, film, sound and video recordings, notebooks</w:t>
      </w:r>
      <w:r w:rsidR="00B95E75">
        <w:rPr>
          <w:rFonts w:asciiTheme="minorHAnsi" w:hAnsiTheme="minorHAnsi" w:cstheme="minorHAnsi"/>
          <w:sz w:val="22"/>
          <w:szCs w:val="22"/>
        </w:rPr>
        <w:t>,</w:t>
      </w:r>
      <w:r w:rsidRPr="00333880">
        <w:rPr>
          <w:rFonts w:asciiTheme="minorHAnsi" w:hAnsiTheme="minorHAnsi" w:cstheme="minorHAnsi"/>
          <w:sz w:val="22"/>
          <w:szCs w:val="22"/>
        </w:rPr>
        <w:t xml:space="preserve"> and diaries. </w:t>
      </w:r>
    </w:p>
    <w:p w14:paraId="2FFB0070" w14:textId="77777777" w:rsidR="00D30C78" w:rsidRPr="00333880" w:rsidRDefault="00D30C78" w:rsidP="00B4527D">
      <w:pPr>
        <w:pStyle w:val="Default"/>
        <w:rPr>
          <w:rFonts w:asciiTheme="minorHAnsi" w:hAnsiTheme="minorHAnsi" w:cstheme="minorHAnsi"/>
          <w:sz w:val="22"/>
          <w:szCs w:val="22"/>
        </w:rPr>
      </w:pPr>
    </w:p>
    <w:p w14:paraId="088F86DE" w14:textId="6CD42B6E" w:rsidR="00B9390C" w:rsidRPr="00333880" w:rsidRDefault="00B95E75" w:rsidP="00B4527D">
      <w:pPr>
        <w:pStyle w:val="Default"/>
        <w:rPr>
          <w:rFonts w:asciiTheme="minorHAnsi" w:hAnsiTheme="minorHAnsi" w:cstheme="minorHAnsi"/>
          <w:sz w:val="22"/>
          <w:szCs w:val="22"/>
        </w:rPr>
      </w:pPr>
      <w:r>
        <w:rPr>
          <w:rFonts w:asciiTheme="minorHAnsi" w:hAnsiTheme="minorHAnsi" w:cstheme="minorHAnsi"/>
          <w:sz w:val="22"/>
          <w:szCs w:val="22"/>
        </w:rPr>
        <w:t xml:space="preserve">The </w:t>
      </w:r>
      <w:r w:rsidR="009F5E89" w:rsidRPr="00333880">
        <w:rPr>
          <w:rFonts w:asciiTheme="minorHAnsi" w:hAnsiTheme="minorHAnsi" w:cstheme="minorHAnsi"/>
          <w:sz w:val="22"/>
          <w:szCs w:val="22"/>
        </w:rPr>
        <w:t xml:space="preserve">CFC’s </w:t>
      </w:r>
      <w:r w:rsidR="00962837">
        <w:rPr>
          <w:rFonts w:asciiTheme="minorHAnsi" w:hAnsiTheme="minorHAnsi" w:cstheme="minorHAnsi"/>
          <w:sz w:val="22"/>
          <w:szCs w:val="22"/>
        </w:rPr>
        <w:t>g</w:t>
      </w:r>
      <w:r w:rsidR="00962837" w:rsidRPr="00333880">
        <w:rPr>
          <w:rFonts w:asciiTheme="minorHAnsi" w:hAnsiTheme="minorHAnsi" w:cstheme="minorHAnsi"/>
          <w:sz w:val="22"/>
          <w:szCs w:val="22"/>
        </w:rPr>
        <w:t xml:space="preserve">overnment </w:t>
      </w:r>
      <w:r w:rsidR="00962837">
        <w:rPr>
          <w:rFonts w:asciiTheme="minorHAnsi" w:hAnsiTheme="minorHAnsi" w:cstheme="minorHAnsi"/>
          <w:sz w:val="22"/>
          <w:szCs w:val="22"/>
        </w:rPr>
        <w:t>i</w:t>
      </w:r>
      <w:r w:rsidR="00B9390C" w:rsidRPr="00333880">
        <w:rPr>
          <w:rFonts w:asciiTheme="minorHAnsi" w:hAnsiTheme="minorHAnsi" w:cstheme="minorHAnsi"/>
          <w:sz w:val="22"/>
          <w:szCs w:val="22"/>
        </w:rPr>
        <w:t>nformation can include:</w:t>
      </w:r>
    </w:p>
    <w:p w14:paraId="472CAE03" w14:textId="77777777" w:rsidR="0086184A" w:rsidRPr="00333880" w:rsidRDefault="0086184A" w:rsidP="00B4527D">
      <w:pPr>
        <w:pStyle w:val="Default"/>
        <w:rPr>
          <w:rFonts w:asciiTheme="minorHAnsi" w:hAnsiTheme="minorHAnsi" w:cstheme="minorHAnsi"/>
          <w:sz w:val="22"/>
          <w:szCs w:val="22"/>
        </w:rPr>
      </w:pPr>
    </w:p>
    <w:p w14:paraId="207079E3" w14:textId="229313D3" w:rsidR="0086184A" w:rsidRPr="00333880" w:rsidRDefault="0086184A" w:rsidP="00B4527D">
      <w:pPr>
        <w:pStyle w:val="adefpara"/>
        <w:numPr>
          <w:ilvl w:val="0"/>
          <w:numId w:val="4"/>
        </w:numPr>
        <w:shd w:val="clear" w:color="auto" w:fill="FFFFFF"/>
        <w:spacing w:before="0" w:beforeAutospacing="0" w:after="0" w:afterAutospacing="0"/>
        <w:ind w:left="851" w:right="1088"/>
        <w:rPr>
          <w:rFonts w:asciiTheme="minorHAnsi" w:hAnsiTheme="minorHAnsi" w:cstheme="minorHAnsi"/>
          <w:color w:val="000000"/>
          <w:sz w:val="22"/>
          <w:szCs w:val="22"/>
        </w:rPr>
      </w:pPr>
      <w:r w:rsidRPr="00333880">
        <w:rPr>
          <w:rFonts w:asciiTheme="minorHAnsi" w:hAnsiTheme="minorHAnsi" w:cstheme="minorHAnsi"/>
          <w:color w:val="000000"/>
          <w:sz w:val="22"/>
          <w:szCs w:val="22"/>
        </w:rPr>
        <w:t xml:space="preserve">functional information including </w:t>
      </w:r>
      <w:r w:rsidR="00B95E75">
        <w:rPr>
          <w:rFonts w:asciiTheme="minorHAnsi" w:hAnsiTheme="minorHAnsi" w:cstheme="minorHAnsi"/>
          <w:color w:val="000000"/>
          <w:sz w:val="22"/>
          <w:szCs w:val="22"/>
        </w:rPr>
        <w:t>its</w:t>
      </w:r>
      <w:r w:rsidR="00B95E75" w:rsidRPr="00333880">
        <w:rPr>
          <w:rFonts w:asciiTheme="minorHAnsi" w:hAnsiTheme="minorHAnsi" w:cstheme="minorHAnsi"/>
          <w:color w:val="000000"/>
          <w:sz w:val="22"/>
          <w:szCs w:val="22"/>
        </w:rPr>
        <w:t xml:space="preserve"> </w:t>
      </w:r>
      <w:r w:rsidRPr="00333880">
        <w:rPr>
          <w:rFonts w:asciiTheme="minorHAnsi" w:hAnsiTheme="minorHAnsi" w:cstheme="minorHAnsi"/>
          <w:color w:val="000000"/>
          <w:sz w:val="22"/>
          <w:szCs w:val="22"/>
        </w:rPr>
        <w:t xml:space="preserve">structure and </w:t>
      </w:r>
      <w:proofErr w:type="gramStart"/>
      <w:r w:rsidRPr="00333880">
        <w:rPr>
          <w:rFonts w:asciiTheme="minorHAnsi" w:hAnsiTheme="minorHAnsi" w:cstheme="minorHAnsi"/>
          <w:color w:val="000000"/>
          <w:sz w:val="22"/>
          <w:szCs w:val="22"/>
        </w:rPr>
        <w:t>functions</w:t>
      </w:r>
      <w:r w:rsidR="009F5E89" w:rsidRPr="00333880">
        <w:rPr>
          <w:rFonts w:asciiTheme="minorHAnsi" w:hAnsiTheme="minorHAnsi" w:cstheme="minorHAnsi"/>
          <w:color w:val="000000"/>
          <w:sz w:val="22"/>
          <w:szCs w:val="22"/>
        </w:rPr>
        <w:t>;</w:t>
      </w:r>
      <w:proofErr w:type="gramEnd"/>
    </w:p>
    <w:p w14:paraId="36D63848" w14:textId="1BCF47C2" w:rsidR="0086184A" w:rsidRPr="00333880" w:rsidRDefault="0086184A" w:rsidP="00B4527D">
      <w:pPr>
        <w:pStyle w:val="adefpara"/>
        <w:numPr>
          <w:ilvl w:val="0"/>
          <w:numId w:val="4"/>
        </w:numPr>
        <w:shd w:val="clear" w:color="auto" w:fill="FFFFFF"/>
        <w:spacing w:before="0" w:beforeAutospacing="0" w:after="0" w:afterAutospacing="0"/>
        <w:ind w:left="851" w:right="1088"/>
        <w:rPr>
          <w:rFonts w:asciiTheme="minorHAnsi" w:hAnsiTheme="minorHAnsi" w:cstheme="minorHAnsi"/>
          <w:color w:val="000000"/>
          <w:sz w:val="22"/>
          <w:szCs w:val="22"/>
        </w:rPr>
      </w:pPr>
      <w:r w:rsidRPr="00333880">
        <w:rPr>
          <w:rFonts w:asciiTheme="minorHAnsi" w:hAnsiTheme="minorHAnsi" w:cstheme="minorHAnsi"/>
          <w:color w:val="000000"/>
          <w:sz w:val="22"/>
          <w:szCs w:val="22"/>
        </w:rPr>
        <w:t xml:space="preserve">information about the CFC or the work of the CFC contained in any document tabled in the Legislative Assembly by or for the </w:t>
      </w:r>
      <w:proofErr w:type="gramStart"/>
      <w:r w:rsidRPr="00333880">
        <w:rPr>
          <w:rFonts w:asciiTheme="minorHAnsi" w:hAnsiTheme="minorHAnsi" w:cstheme="minorHAnsi"/>
          <w:color w:val="000000"/>
          <w:sz w:val="22"/>
          <w:szCs w:val="22"/>
        </w:rPr>
        <w:t>CFC</w:t>
      </w:r>
      <w:r w:rsidR="009F5E89" w:rsidRPr="00333880">
        <w:rPr>
          <w:rFonts w:asciiTheme="minorHAnsi" w:hAnsiTheme="minorHAnsi" w:cstheme="minorHAnsi"/>
          <w:color w:val="000000"/>
          <w:sz w:val="22"/>
          <w:szCs w:val="22"/>
        </w:rPr>
        <w:t>;</w:t>
      </w:r>
      <w:proofErr w:type="gramEnd"/>
    </w:p>
    <w:p w14:paraId="1764C921" w14:textId="1C248799" w:rsidR="0086184A" w:rsidRPr="00333880" w:rsidRDefault="0086184A" w:rsidP="00B4527D">
      <w:pPr>
        <w:pStyle w:val="Default"/>
        <w:numPr>
          <w:ilvl w:val="0"/>
          <w:numId w:val="4"/>
        </w:numPr>
        <w:ind w:left="851"/>
        <w:rPr>
          <w:rFonts w:asciiTheme="minorHAnsi" w:hAnsiTheme="minorHAnsi" w:cstheme="minorHAnsi"/>
          <w:sz w:val="22"/>
          <w:szCs w:val="22"/>
        </w:rPr>
      </w:pPr>
      <w:r w:rsidRPr="00333880">
        <w:rPr>
          <w:rFonts w:asciiTheme="minorHAnsi" w:hAnsiTheme="minorHAnsi" w:cstheme="minorHAnsi"/>
          <w:sz w:val="22"/>
          <w:szCs w:val="22"/>
        </w:rPr>
        <w:t>policy documents including any of the following (</w:t>
      </w:r>
      <w:r w:rsidR="00115114" w:rsidRPr="00333880">
        <w:rPr>
          <w:rFonts w:asciiTheme="minorHAnsi" w:hAnsiTheme="minorHAnsi" w:cstheme="minorHAnsi"/>
          <w:sz w:val="22"/>
          <w:szCs w:val="22"/>
        </w:rPr>
        <w:t>excluding</w:t>
      </w:r>
      <w:r w:rsidRPr="00333880">
        <w:rPr>
          <w:rFonts w:asciiTheme="minorHAnsi" w:hAnsiTheme="minorHAnsi" w:cstheme="minorHAnsi"/>
          <w:sz w:val="22"/>
          <w:szCs w:val="22"/>
        </w:rPr>
        <w:t xml:space="preserve"> draft form): </w:t>
      </w:r>
    </w:p>
    <w:p w14:paraId="1084AED0" w14:textId="4DE5959F" w:rsidR="0086184A" w:rsidRPr="00333880" w:rsidRDefault="0086184A" w:rsidP="00B4527D">
      <w:pPr>
        <w:pStyle w:val="Default"/>
        <w:numPr>
          <w:ilvl w:val="0"/>
          <w:numId w:val="5"/>
        </w:numPr>
        <w:ind w:left="1276" w:hanging="357"/>
        <w:rPr>
          <w:rFonts w:asciiTheme="minorHAnsi" w:hAnsiTheme="minorHAnsi" w:cstheme="minorHAnsi"/>
          <w:sz w:val="22"/>
          <w:szCs w:val="22"/>
        </w:rPr>
      </w:pPr>
      <w:r w:rsidRPr="00333880">
        <w:rPr>
          <w:rFonts w:asciiTheme="minorHAnsi" w:hAnsiTheme="minorHAnsi" w:cstheme="minorHAnsi"/>
          <w:sz w:val="22"/>
          <w:szCs w:val="22"/>
        </w:rPr>
        <w:t>a document containing interpretations, rules, guidelines, statements of policy, practices</w:t>
      </w:r>
      <w:r w:rsidR="00B95E75">
        <w:rPr>
          <w:rFonts w:asciiTheme="minorHAnsi" w:hAnsiTheme="minorHAnsi" w:cstheme="minorHAnsi"/>
          <w:sz w:val="22"/>
          <w:szCs w:val="22"/>
        </w:rPr>
        <w:t>,</w:t>
      </w:r>
      <w:r w:rsidRPr="00333880">
        <w:rPr>
          <w:rFonts w:asciiTheme="minorHAnsi" w:hAnsiTheme="minorHAnsi" w:cstheme="minorHAnsi"/>
          <w:sz w:val="22"/>
          <w:szCs w:val="22"/>
        </w:rPr>
        <w:t xml:space="preserve"> or </w:t>
      </w:r>
      <w:proofErr w:type="gramStart"/>
      <w:r w:rsidRPr="00333880">
        <w:rPr>
          <w:rFonts w:asciiTheme="minorHAnsi" w:hAnsiTheme="minorHAnsi" w:cstheme="minorHAnsi"/>
          <w:sz w:val="22"/>
          <w:szCs w:val="22"/>
        </w:rPr>
        <w:t>precedents;</w:t>
      </w:r>
      <w:proofErr w:type="gramEnd"/>
      <w:r w:rsidRPr="00333880">
        <w:rPr>
          <w:rFonts w:asciiTheme="minorHAnsi" w:hAnsiTheme="minorHAnsi" w:cstheme="minorHAnsi"/>
          <w:sz w:val="22"/>
          <w:szCs w:val="22"/>
        </w:rPr>
        <w:t xml:space="preserve"> </w:t>
      </w:r>
    </w:p>
    <w:p w14:paraId="4D332167" w14:textId="09CE30F4" w:rsidR="0086184A" w:rsidRPr="00333880" w:rsidRDefault="0086184A" w:rsidP="00B4527D">
      <w:pPr>
        <w:pStyle w:val="Default"/>
        <w:numPr>
          <w:ilvl w:val="0"/>
          <w:numId w:val="5"/>
        </w:numPr>
        <w:ind w:left="1276" w:hanging="357"/>
        <w:rPr>
          <w:rFonts w:asciiTheme="minorHAnsi" w:hAnsiTheme="minorHAnsi" w:cstheme="minorHAnsi"/>
          <w:sz w:val="22"/>
          <w:szCs w:val="22"/>
        </w:rPr>
      </w:pPr>
      <w:r w:rsidRPr="00333880">
        <w:rPr>
          <w:rFonts w:asciiTheme="minorHAnsi" w:hAnsiTheme="minorHAnsi" w:cstheme="minorHAnsi"/>
          <w:sz w:val="22"/>
          <w:szCs w:val="22"/>
        </w:rPr>
        <w:t>a document containing operational information that ensures that members of the public can be adequately informed about the framework of rules, policies, principles</w:t>
      </w:r>
      <w:r w:rsidR="00B95E75">
        <w:rPr>
          <w:rFonts w:asciiTheme="minorHAnsi" w:hAnsiTheme="minorHAnsi" w:cstheme="minorHAnsi"/>
          <w:sz w:val="22"/>
          <w:szCs w:val="22"/>
        </w:rPr>
        <w:t>,</w:t>
      </w:r>
      <w:r w:rsidRPr="00333880">
        <w:rPr>
          <w:rFonts w:asciiTheme="minorHAnsi" w:hAnsiTheme="minorHAnsi" w:cstheme="minorHAnsi"/>
          <w:sz w:val="22"/>
          <w:szCs w:val="22"/>
        </w:rPr>
        <w:t xml:space="preserve"> and procedures that agencies apply in making decisions or </w:t>
      </w:r>
      <w:proofErr w:type="gramStart"/>
      <w:r w:rsidRPr="00333880">
        <w:rPr>
          <w:rFonts w:asciiTheme="minorHAnsi" w:hAnsiTheme="minorHAnsi" w:cstheme="minorHAnsi"/>
          <w:sz w:val="22"/>
          <w:szCs w:val="22"/>
        </w:rPr>
        <w:t>recommendations;</w:t>
      </w:r>
      <w:proofErr w:type="gramEnd"/>
      <w:r w:rsidRPr="00333880">
        <w:rPr>
          <w:rFonts w:asciiTheme="minorHAnsi" w:hAnsiTheme="minorHAnsi" w:cstheme="minorHAnsi"/>
          <w:sz w:val="22"/>
          <w:szCs w:val="22"/>
        </w:rPr>
        <w:t xml:space="preserve"> </w:t>
      </w:r>
    </w:p>
    <w:p w14:paraId="3D953CF7" w14:textId="403ADE06" w:rsidR="0086184A" w:rsidRPr="00333880" w:rsidRDefault="0086184A" w:rsidP="00B4527D">
      <w:pPr>
        <w:pStyle w:val="Default"/>
        <w:numPr>
          <w:ilvl w:val="0"/>
          <w:numId w:val="5"/>
        </w:numPr>
        <w:ind w:left="1276" w:hanging="357"/>
        <w:rPr>
          <w:rFonts w:asciiTheme="minorHAnsi" w:hAnsiTheme="minorHAnsi" w:cstheme="minorHAnsi"/>
          <w:sz w:val="22"/>
          <w:szCs w:val="22"/>
        </w:rPr>
      </w:pPr>
      <w:r w:rsidRPr="00333880">
        <w:rPr>
          <w:rFonts w:asciiTheme="minorHAnsi" w:hAnsiTheme="minorHAnsi" w:cstheme="minorHAnsi"/>
          <w:sz w:val="22"/>
          <w:szCs w:val="22"/>
        </w:rPr>
        <w:t xml:space="preserve">a document describing the procedures to be followed in investigating a contravention or possible contravention of an Act or administrative scheme; or </w:t>
      </w:r>
    </w:p>
    <w:p w14:paraId="2150B3B0" w14:textId="03191CF4" w:rsidR="0086184A" w:rsidRPr="00333880" w:rsidRDefault="0086184A" w:rsidP="00B4527D">
      <w:pPr>
        <w:pStyle w:val="Default"/>
        <w:numPr>
          <w:ilvl w:val="0"/>
          <w:numId w:val="5"/>
        </w:numPr>
        <w:ind w:left="1276" w:hanging="357"/>
        <w:rPr>
          <w:rFonts w:asciiTheme="minorHAnsi" w:hAnsiTheme="minorHAnsi" w:cstheme="minorHAnsi"/>
          <w:sz w:val="22"/>
          <w:szCs w:val="22"/>
        </w:rPr>
      </w:pPr>
      <w:r w:rsidRPr="00333880">
        <w:rPr>
          <w:rFonts w:asciiTheme="minorHAnsi" w:hAnsiTheme="minorHAnsi" w:cstheme="minorHAnsi"/>
          <w:sz w:val="22"/>
          <w:szCs w:val="22"/>
        </w:rPr>
        <w:t xml:space="preserve">another document of a similar kind used to assist the CFC to exercise its </w:t>
      </w:r>
      <w:proofErr w:type="gramStart"/>
      <w:r w:rsidRPr="00333880">
        <w:rPr>
          <w:rFonts w:asciiTheme="minorHAnsi" w:hAnsiTheme="minorHAnsi" w:cstheme="minorHAnsi"/>
          <w:sz w:val="22"/>
          <w:szCs w:val="22"/>
        </w:rPr>
        <w:t>functions</w:t>
      </w:r>
      <w:r w:rsidR="009F5E89" w:rsidRPr="00333880">
        <w:rPr>
          <w:rFonts w:asciiTheme="minorHAnsi" w:hAnsiTheme="minorHAnsi" w:cstheme="minorHAnsi"/>
          <w:sz w:val="22"/>
          <w:szCs w:val="22"/>
        </w:rPr>
        <w:t>;</w:t>
      </w:r>
      <w:proofErr w:type="gramEnd"/>
      <w:r w:rsidRPr="00333880">
        <w:rPr>
          <w:rFonts w:asciiTheme="minorHAnsi" w:hAnsiTheme="minorHAnsi" w:cstheme="minorHAnsi"/>
          <w:sz w:val="22"/>
          <w:szCs w:val="22"/>
        </w:rPr>
        <w:t xml:space="preserve"> </w:t>
      </w:r>
    </w:p>
    <w:p w14:paraId="64309F1C" w14:textId="75C7396F" w:rsidR="00115114" w:rsidRPr="00333880" w:rsidRDefault="0086184A" w:rsidP="00B4527D">
      <w:pPr>
        <w:pStyle w:val="apara"/>
        <w:numPr>
          <w:ilvl w:val="0"/>
          <w:numId w:val="6"/>
        </w:numPr>
        <w:shd w:val="clear" w:color="auto" w:fill="FFFFFF"/>
        <w:spacing w:before="0" w:beforeAutospacing="0" w:after="0" w:afterAutospacing="0"/>
        <w:ind w:left="851" w:right="1088"/>
        <w:rPr>
          <w:rFonts w:asciiTheme="minorHAnsi" w:hAnsiTheme="minorHAnsi" w:cstheme="minorHAnsi"/>
          <w:color w:val="000000"/>
          <w:sz w:val="22"/>
          <w:szCs w:val="22"/>
        </w:rPr>
      </w:pPr>
      <w:r w:rsidRPr="00333880">
        <w:rPr>
          <w:rFonts w:asciiTheme="minorHAnsi" w:hAnsiTheme="minorHAnsi" w:cstheme="minorHAnsi"/>
          <w:color w:val="000000"/>
          <w:sz w:val="22"/>
          <w:szCs w:val="22"/>
        </w:rPr>
        <w:t xml:space="preserve">budget papers and </w:t>
      </w:r>
      <w:r w:rsidR="00B95E75">
        <w:rPr>
          <w:rFonts w:asciiTheme="minorHAnsi" w:hAnsiTheme="minorHAnsi" w:cstheme="minorHAnsi"/>
          <w:color w:val="000000"/>
          <w:sz w:val="22"/>
          <w:szCs w:val="22"/>
        </w:rPr>
        <w:t>a</w:t>
      </w:r>
      <w:r w:rsidR="00B95E75" w:rsidRPr="00333880">
        <w:rPr>
          <w:rFonts w:asciiTheme="minorHAnsi" w:hAnsiTheme="minorHAnsi" w:cstheme="minorHAnsi"/>
          <w:color w:val="000000"/>
          <w:sz w:val="22"/>
          <w:szCs w:val="22"/>
        </w:rPr>
        <w:t xml:space="preserve">ppropriation </w:t>
      </w:r>
      <w:r w:rsidR="00B95E75">
        <w:rPr>
          <w:rFonts w:asciiTheme="minorHAnsi" w:hAnsiTheme="minorHAnsi" w:cstheme="minorHAnsi"/>
          <w:color w:val="000000"/>
          <w:sz w:val="22"/>
          <w:szCs w:val="22"/>
        </w:rPr>
        <w:t>a</w:t>
      </w:r>
      <w:r w:rsidR="00B95E75" w:rsidRPr="00333880">
        <w:rPr>
          <w:rFonts w:asciiTheme="minorHAnsi" w:hAnsiTheme="minorHAnsi" w:cstheme="minorHAnsi"/>
          <w:color w:val="000000"/>
          <w:sz w:val="22"/>
          <w:szCs w:val="22"/>
        </w:rPr>
        <w:t xml:space="preserve">cts </w:t>
      </w:r>
      <w:r w:rsidRPr="00333880">
        <w:rPr>
          <w:rFonts w:asciiTheme="minorHAnsi" w:hAnsiTheme="minorHAnsi" w:cstheme="minorHAnsi"/>
          <w:color w:val="000000"/>
          <w:sz w:val="22"/>
          <w:szCs w:val="22"/>
        </w:rPr>
        <w:t>presented to the Legislative Assembly under the </w:t>
      </w:r>
      <w:hyperlink r:id="rId8" w:tooltip="A1996-22" w:history="1">
        <w:r w:rsidRPr="00333880">
          <w:rPr>
            <w:rStyle w:val="charcithyperlinkital"/>
            <w:rFonts w:asciiTheme="minorHAnsi" w:hAnsiTheme="minorHAnsi" w:cstheme="minorHAnsi"/>
            <w:i/>
            <w:iCs/>
            <w:color w:val="0000FF"/>
            <w:sz w:val="22"/>
            <w:szCs w:val="22"/>
          </w:rPr>
          <w:t>Financial Management Act 1996</w:t>
        </w:r>
      </w:hyperlink>
      <w:r w:rsidRPr="00333880">
        <w:rPr>
          <w:rFonts w:asciiTheme="minorHAnsi" w:hAnsiTheme="minorHAnsi" w:cstheme="minorHAnsi"/>
          <w:color w:val="000000"/>
          <w:sz w:val="22"/>
          <w:szCs w:val="22"/>
        </w:rPr>
        <w:t>;</w:t>
      </w:r>
      <w:r w:rsidR="00115114" w:rsidRPr="00333880">
        <w:rPr>
          <w:rFonts w:asciiTheme="minorHAnsi" w:hAnsiTheme="minorHAnsi" w:cstheme="minorHAnsi"/>
          <w:color w:val="000000"/>
          <w:sz w:val="22"/>
          <w:szCs w:val="22"/>
        </w:rPr>
        <w:t xml:space="preserve"> </w:t>
      </w:r>
    </w:p>
    <w:p w14:paraId="1CBD6FFC" w14:textId="77777777" w:rsidR="00115114" w:rsidRPr="00333880" w:rsidRDefault="0086184A" w:rsidP="00B4527D">
      <w:pPr>
        <w:pStyle w:val="apara"/>
        <w:numPr>
          <w:ilvl w:val="0"/>
          <w:numId w:val="6"/>
        </w:numPr>
        <w:shd w:val="clear" w:color="auto" w:fill="FFFFFF"/>
        <w:spacing w:before="0" w:beforeAutospacing="0" w:after="0" w:afterAutospacing="0"/>
        <w:ind w:left="851" w:right="1088"/>
        <w:rPr>
          <w:rFonts w:asciiTheme="minorHAnsi" w:hAnsiTheme="minorHAnsi" w:cstheme="minorHAnsi"/>
          <w:color w:val="000000"/>
          <w:sz w:val="22"/>
          <w:szCs w:val="22"/>
        </w:rPr>
      </w:pPr>
      <w:r w:rsidRPr="00333880">
        <w:rPr>
          <w:rFonts w:asciiTheme="minorHAnsi" w:hAnsiTheme="minorHAnsi" w:cstheme="minorHAnsi"/>
          <w:color w:val="000000"/>
          <w:sz w:val="22"/>
          <w:szCs w:val="22"/>
        </w:rPr>
        <w:t xml:space="preserve">information about government grants made or administered by the </w:t>
      </w:r>
      <w:proofErr w:type="gramStart"/>
      <w:r w:rsidR="00115114" w:rsidRPr="00333880">
        <w:rPr>
          <w:rFonts w:asciiTheme="minorHAnsi" w:hAnsiTheme="minorHAnsi" w:cstheme="minorHAnsi"/>
          <w:color w:val="000000"/>
          <w:sz w:val="22"/>
          <w:szCs w:val="22"/>
        </w:rPr>
        <w:t>CFC</w:t>
      </w:r>
      <w:r w:rsidRPr="00333880">
        <w:rPr>
          <w:rFonts w:asciiTheme="minorHAnsi" w:hAnsiTheme="minorHAnsi" w:cstheme="minorHAnsi"/>
          <w:color w:val="000000"/>
          <w:sz w:val="22"/>
          <w:szCs w:val="22"/>
        </w:rPr>
        <w:t>;</w:t>
      </w:r>
      <w:proofErr w:type="gramEnd"/>
    </w:p>
    <w:p w14:paraId="479539BC" w14:textId="56AD0DC1" w:rsidR="00115114" w:rsidRPr="00333880" w:rsidRDefault="0086184A" w:rsidP="00B4527D">
      <w:pPr>
        <w:pStyle w:val="apara"/>
        <w:numPr>
          <w:ilvl w:val="0"/>
          <w:numId w:val="6"/>
        </w:numPr>
        <w:shd w:val="clear" w:color="auto" w:fill="FFFFFF"/>
        <w:spacing w:before="0" w:beforeAutospacing="0" w:after="0" w:afterAutospacing="0"/>
        <w:ind w:left="851" w:right="1088"/>
        <w:rPr>
          <w:rFonts w:asciiTheme="minorHAnsi" w:hAnsiTheme="minorHAnsi" w:cstheme="minorHAnsi"/>
          <w:color w:val="000000"/>
          <w:sz w:val="22"/>
          <w:szCs w:val="22"/>
        </w:rPr>
      </w:pPr>
      <w:r w:rsidRPr="00333880">
        <w:rPr>
          <w:rFonts w:asciiTheme="minorHAnsi" w:hAnsiTheme="minorHAnsi" w:cstheme="minorHAnsi"/>
          <w:color w:val="000000"/>
          <w:sz w:val="22"/>
          <w:szCs w:val="22"/>
        </w:rPr>
        <w:t xml:space="preserve">the </w:t>
      </w:r>
      <w:r w:rsidR="00115114" w:rsidRPr="00333880">
        <w:rPr>
          <w:rFonts w:asciiTheme="minorHAnsi" w:hAnsiTheme="minorHAnsi" w:cstheme="minorHAnsi"/>
          <w:color w:val="000000"/>
          <w:sz w:val="22"/>
          <w:szCs w:val="22"/>
        </w:rPr>
        <w:t>CFC’s</w:t>
      </w:r>
      <w:r w:rsidRPr="00333880">
        <w:rPr>
          <w:rFonts w:asciiTheme="minorHAnsi" w:hAnsiTheme="minorHAnsi" w:cstheme="minorHAnsi"/>
          <w:color w:val="000000"/>
          <w:sz w:val="22"/>
          <w:szCs w:val="22"/>
        </w:rPr>
        <w:t xml:space="preserve"> disclosure log</w:t>
      </w:r>
      <w:r w:rsidR="009F5E89" w:rsidRPr="00333880">
        <w:rPr>
          <w:rFonts w:asciiTheme="minorHAnsi" w:hAnsiTheme="minorHAnsi" w:cstheme="minorHAnsi"/>
          <w:color w:val="000000"/>
          <w:sz w:val="22"/>
          <w:szCs w:val="22"/>
        </w:rPr>
        <w:t xml:space="preserve"> (</w:t>
      </w:r>
      <w:r w:rsidR="009F5E89" w:rsidRPr="00333880">
        <w:rPr>
          <w:rFonts w:asciiTheme="minorHAnsi" w:hAnsiTheme="minorHAnsi" w:cstheme="minorHAnsi"/>
          <w:sz w:val="22"/>
          <w:szCs w:val="22"/>
        </w:rPr>
        <w:t xml:space="preserve">FOI requests made to the CFC under the FOI Act), omitting personal </w:t>
      </w:r>
      <w:proofErr w:type="gramStart"/>
      <w:r w:rsidR="009F5E89" w:rsidRPr="00333880">
        <w:rPr>
          <w:rFonts w:asciiTheme="minorHAnsi" w:hAnsiTheme="minorHAnsi" w:cstheme="minorHAnsi"/>
          <w:sz w:val="22"/>
          <w:szCs w:val="22"/>
        </w:rPr>
        <w:t>information;</w:t>
      </w:r>
      <w:proofErr w:type="gramEnd"/>
    </w:p>
    <w:p w14:paraId="6FA5A925" w14:textId="6E55401A" w:rsidR="00115114" w:rsidRPr="00333880" w:rsidRDefault="0086184A" w:rsidP="00B4527D">
      <w:pPr>
        <w:pStyle w:val="apara"/>
        <w:numPr>
          <w:ilvl w:val="0"/>
          <w:numId w:val="6"/>
        </w:numPr>
        <w:shd w:val="clear" w:color="auto" w:fill="FFFFFF"/>
        <w:spacing w:before="0" w:beforeAutospacing="0" w:after="0" w:afterAutospacing="0"/>
        <w:ind w:left="851" w:right="1088"/>
        <w:rPr>
          <w:rFonts w:asciiTheme="minorHAnsi" w:hAnsiTheme="minorHAnsi" w:cstheme="minorHAnsi"/>
          <w:color w:val="000000"/>
          <w:sz w:val="22"/>
          <w:szCs w:val="22"/>
        </w:rPr>
      </w:pPr>
      <w:r w:rsidRPr="00333880">
        <w:rPr>
          <w:rFonts w:asciiTheme="minorHAnsi" w:hAnsiTheme="minorHAnsi" w:cstheme="minorHAnsi"/>
          <w:color w:val="000000"/>
          <w:sz w:val="22"/>
          <w:szCs w:val="22"/>
        </w:rPr>
        <w:lastRenderedPageBreak/>
        <w:t>a statement listing all boards, councils, committees, panels</w:t>
      </w:r>
      <w:r w:rsidR="00B95E75">
        <w:rPr>
          <w:rFonts w:asciiTheme="minorHAnsi" w:hAnsiTheme="minorHAnsi" w:cstheme="minorHAnsi"/>
          <w:color w:val="000000"/>
          <w:sz w:val="22"/>
          <w:szCs w:val="22"/>
        </w:rPr>
        <w:t>,</w:t>
      </w:r>
      <w:r w:rsidRPr="00333880">
        <w:rPr>
          <w:rFonts w:asciiTheme="minorHAnsi" w:hAnsiTheme="minorHAnsi" w:cstheme="minorHAnsi"/>
          <w:color w:val="000000"/>
          <w:sz w:val="22"/>
          <w:szCs w:val="22"/>
        </w:rPr>
        <w:t xml:space="preserve"> and other bodies that have been established by the </w:t>
      </w:r>
      <w:r w:rsidR="00115114" w:rsidRPr="00333880">
        <w:rPr>
          <w:rFonts w:asciiTheme="minorHAnsi" w:hAnsiTheme="minorHAnsi" w:cstheme="minorHAnsi"/>
          <w:color w:val="000000"/>
          <w:sz w:val="22"/>
          <w:szCs w:val="22"/>
        </w:rPr>
        <w:t>CFC</w:t>
      </w:r>
      <w:r w:rsidRPr="00333880">
        <w:rPr>
          <w:rFonts w:asciiTheme="minorHAnsi" w:hAnsiTheme="minorHAnsi" w:cstheme="minorHAnsi"/>
          <w:color w:val="000000"/>
          <w:sz w:val="22"/>
          <w:szCs w:val="22"/>
        </w:rPr>
        <w:t xml:space="preserve"> (whether under an Act or otherwise) for the purpose of advising the </w:t>
      </w:r>
      <w:r w:rsidR="00115114" w:rsidRPr="00333880">
        <w:rPr>
          <w:rFonts w:asciiTheme="minorHAnsi" w:hAnsiTheme="minorHAnsi" w:cstheme="minorHAnsi"/>
          <w:color w:val="000000"/>
          <w:sz w:val="22"/>
          <w:szCs w:val="22"/>
        </w:rPr>
        <w:t>CFC</w:t>
      </w:r>
      <w:r w:rsidRPr="00333880">
        <w:rPr>
          <w:rFonts w:asciiTheme="minorHAnsi" w:hAnsiTheme="minorHAnsi" w:cstheme="minorHAnsi"/>
          <w:color w:val="000000"/>
          <w:sz w:val="22"/>
          <w:szCs w:val="22"/>
        </w:rPr>
        <w:t xml:space="preserve"> or </w:t>
      </w:r>
      <w:r w:rsidR="00115114" w:rsidRPr="00333880">
        <w:rPr>
          <w:rFonts w:asciiTheme="minorHAnsi" w:hAnsiTheme="minorHAnsi" w:cstheme="minorHAnsi"/>
          <w:color w:val="000000"/>
          <w:sz w:val="22"/>
          <w:szCs w:val="22"/>
        </w:rPr>
        <w:t xml:space="preserve">the responsible </w:t>
      </w:r>
      <w:r w:rsidR="00B95E75">
        <w:rPr>
          <w:rFonts w:asciiTheme="minorHAnsi" w:hAnsiTheme="minorHAnsi" w:cstheme="minorHAnsi"/>
          <w:color w:val="000000"/>
          <w:sz w:val="22"/>
          <w:szCs w:val="22"/>
        </w:rPr>
        <w:t>m</w:t>
      </w:r>
      <w:r w:rsidR="00B95E75" w:rsidRPr="00333880">
        <w:rPr>
          <w:rFonts w:asciiTheme="minorHAnsi" w:hAnsiTheme="minorHAnsi" w:cstheme="minorHAnsi"/>
          <w:color w:val="000000"/>
          <w:sz w:val="22"/>
          <w:szCs w:val="22"/>
        </w:rPr>
        <w:t xml:space="preserve">inister </w:t>
      </w:r>
      <w:r w:rsidR="00115114" w:rsidRPr="00333880">
        <w:rPr>
          <w:rFonts w:asciiTheme="minorHAnsi" w:hAnsiTheme="minorHAnsi" w:cstheme="minorHAnsi"/>
          <w:color w:val="000000"/>
          <w:sz w:val="22"/>
          <w:szCs w:val="22"/>
        </w:rPr>
        <w:t xml:space="preserve">and any related reports or </w:t>
      </w:r>
      <w:proofErr w:type="gramStart"/>
      <w:r w:rsidR="00115114" w:rsidRPr="00333880">
        <w:rPr>
          <w:rFonts w:asciiTheme="minorHAnsi" w:hAnsiTheme="minorHAnsi" w:cstheme="minorHAnsi"/>
          <w:color w:val="000000"/>
          <w:sz w:val="22"/>
          <w:szCs w:val="22"/>
        </w:rPr>
        <w:t>recommendations;</w:t>
      </w:r>
      <w:proofErr w:type="gramEnd"/>
    </w:p>
    <w:p w14:paraId="240E22D6" w14:textId="57890D5F" w:rsidR="0086184A" w:rsidRPr="00333880" w:rsidRDefault="0086184A" w:rsidP="00B4527D">
      <w:pPr>
        <w:pStyle w:val="apara"/>
        <w:numPr>
          <w:ilvl w:val="0"/>
          <w:numId w:val="6"/>
        </w:numPr>
        <w:shd w:val="clear" w:color="auto" w:fill="FFFFFF"/>
        <w:spacing w:before="0" w:beforeAutospacing="0" w:after="0" w:afterAutospacing="0"/>
        <w:ind w:left="851" w:right="1088"/>
        <w:rPr>
          <w:rFonts w:asciiTheme="minorHAnsi" w:hAnsiTheme="minorHAnsi" w:cstheme="minorHAnsi"/>
          <w:color w:val="000000"/>
          <w:sz w:val="22"/>
          <w:szCs w:val="22"/>
        </w:rPr>
      </w:pPr>
      <w:r w:rsidRPr="00333880">
        <w:rPr>
          <w:rFonts w:asciiTheme="minorHAnsi" w:hAnsiTheme="minorHAnsi" w:cstheme="minorHAnsi"/>
          <w:color w:val="000000"/>
          <w:sz w:val="22"/>
          <w:szCs w:val="22"/>
        </w:rPr>
        <w:t xml:space="preserve">any of the following ministerial briefs prepared by the </w:t>
      </w:r>
      <w:r w:rsidR="00115114" w:rsidRPr="00333880">
        <w:rPr>
          <w:rFonts w:asciiTheme="minorHAnsi" w:hAnsiTheme="minorHAnsi" w:cstheme="minorHAnsi"/>
          <w:color w:val="000000"/>
          <w:sz w:val="22"/>
          <w:szCs w:val="22"/>
        </w:rPr>
        <w:t>CFC</w:t>
      </w:r>
      <w:r w:rsidRPr="00333880">
        <w:rPr>
          <w:rFonts w:asciiTheme="minorHAnsi" w:hAnsiTheme="minorHAnsi" w:cstheme="minorHAnsi"/>
          <w:color w:val="000000"/>
          <w:sz w:val="22"/>
          <w:szCs w:val="22"/>
        </w:rPr>
        <w:t xml:space="preserve"> that are </w:t>
      </w:r>
      <w:r w:rsidR="00B95E75">
        <w:rPr>
          <w:rFonts w:asciiTheme="minorHAnsi" w:hAnsiTheme="minorHAnsi" w:cstheme="minorHAnsi"/>
          <w:color w:val="000000"/>
          <w:sz w:val="22"/>
          <w:szCs w:val="22"/>
        </w:rPr>
        <w:t>five</w:t>
      </w:r>
      <w:r w:rsidR="00B95E75" w:rsidRPr="00333880">
        <w:rPr>
          <w:rFonts w:asciiTheme="minorHAnsi" w:hAnsiTheme="minorHAnsi" w:cstheme="minorHAnsi"/>
          <w:color w:val="000000"/>
          <w:sz w:val="22"/>
          <w:szCs w:val="22"/>
        </w:rPr>
        <w:t> </w:t>
      </w:r>
      <w:r w:rsidRPr="00333880">
        <w:rPr>
          <w:rFonts w:asciiTheme="minorHAnsi" w:hAnsiTheme="minorHAnsi" w:cstheme="minorHAnsi"/>
          <w:color w:val="000000"/>
          <w:sz w:val="22"/>
          <w:szCs w:val="22"/>
        </w:rPr>
        <w:t>or more years old:</w:t>
      </w:r>
    </w:p>
    <w:p w14:paraId="4D5B4222" w14:textId="767EDCF0" w:rsidR="0086184A" w:rsidRPr="00333880" w:rsidRDefault="0086184A" w:rsidP="00B4527D">
      <w:pPr>
        <w:pStyle w:val="adefsubpara"/>
        <w:numPr>
          <w:ilvl w:val="0"/>
          <w:numId w:val="7"/>
        </w:numPr>
        <w:shd w:val="clear" w:color="auto" w:fill="FFFFFF"/>
        <w:spacing w:before="0" w:beforeAutospacing="0" w:after="0" w:afterAutospacing="0"/>
        <w:ind w:left="1276" w:right="1088"/>
        <w:rPr>
          <w:rFonts w:asciiTheme="minorHAnsi" w:hAnsiTheme="minorHAnsi" w:cstheme="minorHAnsi"/>
          <w:color w:val="000000"/>
          <w:sz w:val="22"/>
          <w:szCs w:val="22"/>
        </w:rPr>
      </w:pPr>
      <w:r w:rsidRPr="00333880">
        <w:rPr>
          <w:rFonts w:asciiTheme="minorHAnsi" w:hAnsiTheme="minorHAnsi" w:cstheme="minorHAnsi"/>
          <w:color w:val="000000"/>
          <w:sz w:val="22"/>
          <w:szCs w:val="22"/>
        </w:rPr>
        <w:t xml:space="preserve">incoming ministerial </w:t>
      </w:r>
      <w:proofErr w:type="gramStart"/>
      <w:r w:rsidRPr="00333880">
        <w:rPr>
          <w:rFonts w:asciiTheme="minorHAnsi" w:hAnsiTheme="minorHAnsi" w:cstheme="minorHAnsi"/>
          <w:color w:val="000000"/>
          <w:sz w:val="22"/>
          <w:szCs w:val="22"/>
        </w:rPr>
        <w:t>briefs;</w:t>
      </w:r>
      <w:proofErr w:type="gramEnd"/>
    </w:p>
    <w:p w14:paraId="4104FCC0" w14:textId="31023454" w:rsidR="0086184A" w:rsidRPr="00333880" w:rsidRDefault="0086184A" w:rsidP="00B4527D">
      <w:pPr>
        <w:pStyle w:val="adefsubpara"/>
        <w:numPr>
          <w:ilvl w:val="0"/>
          <w:numId w:val="7"/>
        </w:numPr>
        <w:shd w:val="clear" w:color="auto" w:fill="FFFFFF"/>
        <w:spacing w:before="0" w:beforeAutospacing="0" w:after="0" w:afterAutospacing="0"/>
        <w:ind w:left="1276" w:right="1088"/>
        <w:rPr>
          <w:rFonts w:asciiTheme="minorHAnsi" w:hAnsiTheme="minorHAnsi" w:cstheme="minorHAnsi"/>
          <w:color w:val="000000"/>
          <w:sz w:val="22"/>
          <w:szCs w:val="22"/>
        </w:rPr>
      </w:pPr>
      <w:r w:rsidRPr="00333880">
        <w:rPr>
          <w:rFonts w:asciiTheme="minorHAnsi" w:hAnsiTheme="minorHAnsi" w:cstheme="minorHAnsi"/>
          <w:color w:val="000000"/>
          <w:sz w:val="22"/>
          <w:szCs w:val="22"/>
        </w:rPr>
        <w:t xml:space="preserve">parliamentary estimates </w:t>
      </w:r>
      <w:proofErr w:type="gramStart"/>
      <w:r w:rsidRPr="00333880">
        <w:rPr>
          <w:rFonts w:asciiTheme="minorHAnsi" w:hAnsiTheme="minorHAnsi" w:cstheme="minorHAnsi"/>
          <w:color w:val="000000"/>
          <w:sz w:val="22"/>
          <w:szCs w:val="22"/>
        </w:rPr>
        <w:t>briefs;</w:t>
      </w:r>
      <w:proofErr w:type="gramEnd"/>
    </w:p>
    <w:p w14:paraId="776128E3" w14:textId="3C9E54BB" w:rsidR="0086184A" w:rsidRPr="00333880" w:rsidRDefault="0086184A" w:rsidP="00B4527D">
      <w:pPr>
        <w:pStyle w:val="adefsubpara"/>
        <w:numPr>
          <w:ilvl w:val="0"/>
          <w:numId w:val="7"/>
        </w:numPr>
        <w:shd w:val="clear" w:color="auto" w:fill="FFFFFF"/>
        <w:spacing w:before="0" w:beforeAutospacing="0" w:after="0" w:afterAutospacing="0"/>
        <w:ind w:left="1276" w:right="1088"/>
        <w:rPr>
          <w:rFonts w:asciiTheme="minorHAnsi" w:hAnsiTheme="minorHAnsi" w:cstheme="minorHAnsi"/>
          <w:color w:val="000000"/>
          <w:sz w:val="22"/>
          <w:szCs w:val="22"/>
        </w:rPr>
      </w:pPr>
      <w:r w:rsidRPr="00333880">
        <w:rPr>
          <w:rFonts w:asciiTheme="minorHAnsi" w:hAnsiTheme="minorHAnsi" w:cstheme="minorHAnsi"/>
          <w:color w:val="000000"/>
          <w:sz w:val="22"/>
          <w:szCs w:val="22"/>
        </w:rPr>
        <w:t xml:space="preserve">annual reports </w:t>
      </w:r>
      <w:proofErr w:type="gramStart"/>
      <w:r w:rsidRPr="00333880">
        <w:rPr>
          <w:rFonts w:asciiTheme="minorHAnsi" w:hAnsiTheme="minorHAnsi" w:cstheme="minorHAnsi"/>
          <w:color w:val="000000"/>
          <w:sz w:val="22"/>
          <w:szCs w:val="22"/>
        </w:rPr>
        <w:t>briefs;</w:t>
      </w:r>
      <w:proofErr w:type="gramEnd"/>
    </w:p>
    <w:p w14:paraId="656A962E" w14:textId="21255816" w:rsidR="0086184A" w:rsidRPr="00333880" w:rsidRDefault="0086184A" w:rsidP="00B4527D">
      <w:pPr>
        <w:pStyle w:val="adefsubpara"/>
        <w:numPr>
          <w:ilvl w:val="0"/>
          <w:numId w:val="7"/>
        </w:numPr>
        <w:shd w:val="clear" w:color="auto" w:fill="FFFFFF"/>
        <w:spacing w:before="0" w:beforeAutospacing="0" w:after="0" w:afterAutospacing="0"/>
        <w:ind w:left="1276" w:right="1088"/>
        <w:rPr>
          <w:rFonts w:asciiTheme="minorHAnsi" w:hAnsiTheme="minorHAnsi" w:cstheme="minorHAnsi"/>
          <w:color w:val="000000"/>
          <w:sz w:val="22"/>
          <w:szCs w:val="22"/>
        </w:rPr>
      </w:pPr>
      <w:r w:rsidRPr="00333880">
        <w:rPr>
          <w:rFonts w:asciiTheme="minorHAnsi" w:hAnsiTheme="minorHAnsi" w:cstheme="minorHAnsi"/>
          <w:color w:val="000000"/>
          <w:sz w:val="22"/>
          <w:szCs w:val="22"/>
        </w:rPr>
        <w:t xml:space="preserve">question time </w:t>
      </w:r>
      <w:proofErr w:type="gramStart"/>
      <w:r w:rsidRPr="00333880">
        <w:rPr>
          <w:rFonts w:asciiTheme="minorHAnsi" w:hAnsiTheme="minorHAnsi" w:cstheme="minorHAnsi"/>
          <w:color w:val="000000"/>
          <w:sz w:val="22"/>
          <w:szCs w:val="22"/>
        </w:rPr>
        <w:t>briefs;</w:t>
      </w:r>
      <w:proofErr w:type="gramEnd"/>
    </w:p>
    <w:p w14:paraId="45105D85" w14:textId="0AEF7746" w:rsidR="0086184A" w:rsidRPr="00333880" w:rsidRDefault="0086184A" w:rsidP="00B4527D">
      <w:pPr>
        <w:pStyle w:val="adefpara"/>
        <w:numPr>
          <w:ilvl w:val="0"/>
          <w:numId w:val="7"/>
        </w:numPr>
        <w:shd w:val="clear" w:color="auto" w:fill="FFFFFF"/>
        <w:spacing w:before="0" w:beforeAutospacing="0" w:after="0" w:afterAutospacing="0"/>
        <w:ind w:left="1276" w:right="1088"/>
        <w:rPr>
          <w:rFonts w:asciiTheme="minorHAnsi" w:hAnsiTheme="minorHAnsi" w:cstheme="minorHAnsi"/>
          <w:color w:val="000000"/>
          <w:sz w:val="22"/>
          <w:szCs w:val="22"/>
        </w:rPr>
      </w:pPr>
      <w:r w:rsidRPr="00333880">
        <w:rPr>
          <w:rFonts w:asciiTheme="minorHAnsi" w:hAnsiTheme="minorHAnsi" w:cstheme="minorHAnsi"/>
          <w:color w:val="000000"/>
          <w:sz w:val="22"/>
          <w:szCs w:val="22"/>
        </w:rPr>
        <w:t xml:space="preserve">information an agency undertakes to make publicly </w:t>
      </w:r>
      <w:proofErr w:type="gramStart"/>
      <w:r w:rsidRPr="00333880">
        <w:rPr>
          <w:rFonts w:asciiTheme="minorHAnsi" w:hAnsiTheme="minorHAnsi" w:cstheme="minorHAnsi"/>
          <w:color w:val="000000"/>
          <w:sz w:val="22"/>
          <w:szCs w:val="22"/>
        </w:rPr>
        <w:t>available;</w:t>
      </w:r>
      <w:proofErr w:type="gramEnd"/>
    </w:p>
    <w:p w14:paraId="1FE085FE" w14:textId="14A64B01" w:rsidR="0086184A" w:rsidRPr="00333880" w:rsidRDefault="0086184A" w:rsidP="00B4527D">
      <w:pPr>
        <w:pStyle w:val="adefpara"/>
        <w:numPr>
          <w:ilvl w:val="0"/>
          <w:numId w:val="7"/>
        </w:numPr>
        <w:shd w:val="clear" w:color="auto" w:fill="FFFFFF"/>
        <w:spacing w:before="0" w:beforeAutospacing="0" w:after="0" w:afterAutospacing="0"/>
        <w:ind w:left="1276" w:right="1088"/>
        <w:rPr>
          <w:rFonts w:asciiTheme="minorHAnsi" w:hAnsiTheme="minorHAnsi" w:cstheme="minorHAnsi"/>
          <w:color w:val="000000"/>
          <w:sz w:val="22"/>
          <w:szCs w:val="22"/>
        </w:rPr>
      </w:pPr>
      <w:r w:rsidRPr="00333880">
        <w:rPr>
          <w:rFonts w:asciiTheme="minorHAnsi" w:hAnsiTheme="minorHAnsi" w:cstheme="minorHAnsi"/>
          <w:color w:val="000000"/>
          <w:sz w:val="22"/>
          <w:szCs w:val="22"/>
        </w:rPr>
        <w:t xml:space="preserve">information declared by the ombudsman to be open access </w:t>
      </w:r>
      <w:proofErr w:type="gramStart"/>
      <w:r w:rsidRPr="00333880">
        <w:rPr>
          <w:rFonts w:asciiTheme="minorHAnsi" w:hAnsiTheme="minorHAnsi" w:cstheme="minorHAnsi"/>
          <w:color w:val="000000"/>
          <w:sz w:val="22"/>
          <w:szCs w:val="22"/>
        </w:rPr>
        <w:t>information;</w:t>
      </w:r>
      <w:proofErr w:type="gramEnd"/>
    </w:p>
    <w:p w14:paraId="0381307A" w14:textId="5EF0D1E6" w:rsidR="0086184A" w:rsidRDefault="0086184A" w:rsidP="00B4527D">
      <w:pPr>
        <w:pStyle w:val="adefpara"/>
        <w:numPr>
          <w:ilvl w:val="0"/>
          <w:numId w:val="7"/>
        </w:numPr>
        <w:shd w:val="clear" w:color="auto" w:fill="FFFFFF"/>
        <w:spacing w:before="0" w:beforeAutospacing="0" w:after="0" w:afterAutospacing="0"/>
        <w:ind w:left="1276" w:right="1088"/>
        <w:rPr>
          <w:rFonts w:asciiTheme="minorHAnsi" w:hAnsiTheme="minorHAnsi" w:cstheme="minorHAnsi"/>
          <w:color w:val="000000"/>
          <w:sz w:val="22"/>
          <w:szCs w:val="22"/>
        </w:rPr>
      </w:pPr>
      <w:r w:rsidRPr="00333880">
        <w:rPr>
          <w:rFonts w:asciiTheme="minorHAnsi" w:hAnsiTheme="minorHAnsi" w:cstheme="minorHAnsi"/>
          <w:color w:val="000000"/>
          <w:sz w:val="22"/>
          <w:szCs w:val="22"/>
        </w:rPr>
        <w:t>information prescribed by regulation.</w:t>
      </w:r>
    </w:p>
    <w:p w14:paraId="7493DB2B" w14:textId="150D8582" w:rsidR="00D30C78" w:rsidRDefault="005319F9" w:rsidP="005319F9">
      <w:pPr>
        <w:pStyle w:val="apara"/>
        <w:numPr>
          <w:ilvl w:val="0"/>
          <w:numId w:val="6"/>
        </w:numPr>
        <w:shd w:val="clear" w:color="auto" w:fill="FFFFFF"/>
        <w:spacing w:before="0" w:beforeAutospacing="0" w:after="0" w:afterAutospacing="0"/>
        <w:ind w:left="851" w:right="1088"/>
        <w:rPr>
          <w:rFonts w:asciiTheme="minorHAnsi" w:hAnsiTheme="minorHAnsi" w:cstheme="minorHAnsi"/>
          <w:color w:val="000000"/>
          <w:sz w:val="22"/>
          <w:szCs w:val="22"/>
        </w:rPr>
      </w:pPr>
      <w:r w:rsidRPr="005319F9">
        <w:rPr>
          <w:rFonts w:asciiTheme="minorHAnsi" w:hAnsiTheme="minorHAnsi" w:cstheme="minorHAnsi"/>
          <w:color w:val="000000"/>
          <w:sz w:val="22"/>
          <w:szCs w:val="22"/>
        </w:rPr>
        <w:t xml:space="preserve">information </w:t>
      </w:r>
      <w:r>
        <w:rPr>
          <w:rFonts w:asciiTheme="minorHAnsi" w:hAnsiTheme="minorHAnsi" w:cstheme="minorHAnsi"/>
          <w:color w:val="000000"/>
          <w:sz w:val="22"/>
          <w:szCs w:val="22"/>
        </w:rPr>
        <w:t>the CFC</w:t>
      </w:r>
      <w:r w:rsidRPr="005319F9">
        <w:rPr>
          <w:rFonts w:asciiTheme="minorHAnsi" w:hAnsiTheme="minorHAnsi" w:cstheme="minorHAnsi"/>
          <w:color w:val="000000"/>
          <w:sz w:val="22"/>
          <w:szCs w:val="22"/>
        </w:rPr>
        <w:t xml:space="preserve"> undertakes to make publicly available under </w:t>
      </w:r>
      <w:r w:rsidR="002320AF">
        <w:rPr>
          <w:rFonts w:asciiTheme="minorHAnsi" w:hAnsiTheme="minorHAnsi" w:cstheme="minorHAnsi"/>
          <w:color w:val="000000"/>
          <w:sz w:val="22"/>
          <w:szCs w:val="22"/>
        </w:rPr>
        <w:t xml:space="preserve">Section </w:t>
      </w:r>
      <w:r w:rsidRPr="005319F9">
        <w:rPr>
          <w:rFonts w:asciiTheme="minorHAnsi" w:hAnsiTheme="minorHAnsi" w:cstheme="minorHAnsi"/>
          <w:color w:val="000000"/>
          <w:sz w:val="22"/>
          <w:szCs w:val="22"/>
        </w:rPr>
        <w:t>29 (</w:t>
      </w:r>
      <w:r w:rsidR="00B95E75">
        <w:rPr>
          <w:rFonts w:asciiTheme="minorHAnsi" w:hAnsiTheme="minorHAnsi" w:cstheme="minorHAnsi"/>
          <w:color w:val="000000"/>
          <w:sz w:val="22"/>
          <w:szCs w:val="22"/>
        </w:rPr>
        <w:t>a</w:t>
      </w:r>
      <w:r w:rsidR="00B95E75" w:rsidRPr="005319F9">
        <w:rPr>
          <w:rFonts w:asciiTheme="minorHAnsi" w:hAnsiTheme="minorHAnsi" w:cstheme="minorHAnsi"/>
          <w:color w:val="000000"/>
          <w:sz w:val="22"/>
          <w:szCs w:val="22"/>
        </w:rPr>
        <w:t xml:space="preserve">gency </w:t>
      </w:r>
      <w:r w:rsidRPr="005319F9">
        <w:rPr>
          <w:rFonts w:asciiTheme="minorHAnsi" w:hAnsiTheme="minorHAnsi" w:cstheme="minorHAnsi"/>
          <w:color w:val="000000"/>
          <w:sz w:val="22"/>
          <w:szCs w:val="22"/>
        </w:rPr>
        <w:t>publication undertakings</w:t>
      </w:r>
      <w:proofErr w:type="gramStart"/>
      <w:r w:rsidRPr="005319F9">
        <w:rPr>
          <w:rFonts w:asciiTheme="minorHAnsi" w:hAnsiTheme="minorHAnsi" w:cstheme="minorHAnsi"/>
          <w:color w:val="000000"/>
          <w:sz w:val="22"/>
          <w:szCs w:val="22"/>
        </w:rPr>
        <w:t>);</w:t>
      </w:r>
      <w:proofErr w:type="gramEnd"/>
    </w:p>
    <w:p w14:paraId="14CA67CD" w14:textId="77777777" w:rsidR="005319F9" w:rsidRPr="007C4193" w:rsidRDefault="005319F9" w:rsidP="005319F9">
      <w:pPr>
        <w:pStyle w:val="Header"/>
        <w:numPr>
          <w:ilvl w:val="0"/>
          <w:numId w:val="6"/>
        </w:numPr>
        <w:spacing w:beforeAutospacing="1" w:afterAutospacing="1"/>
        <w:ind w:left="851"/>
        <w:rPr>
          <w:rFonts w:cstheme="minorHAnsi"/>
          <w:b/>
          <w:bCs/>
          <w:szCs w:val="20"/>
        </w:rPr>
      </w:pPr>
      <w:r w:rsidRPr="007C4193">
        <w:rPr>
          <w:rFonts w:cstheme="minorHAnsi"/>
        </w:rPr>
        <w:t>information declared by the ombudsman to be open access information;</w:t>
      </w:r>
      <w:r>
        <w:rPr>
          <w:rFonts w:cstheme="minorHAnsi"/>
        </w:rPr>
        <w:t xml:space="preserve"> and</w:t>
      </w:r>
    </w:p>
    <w:p w14:paraId="6313B094" w14:textId="7B88A8DB" w:rsidR="005319F9" w:rsidRPr="005319F9" w:rsidRDefault="005319F9" w:rsidP="005319F9">
      <w:pPr>
        <w:pStyle w:val="apara"/>
        <w:numPr>
          <w:ilvl w:val="0"/>
          <w:numId w:val="6"/>
        </w:numPr>
        <w:shd w:val="clear" w:color="auto" w:fill="FFFFFF"/>
        <w:spacing w:before="0" w:beforeAutospacing="0" w:after="0" w:afterAutospacing="0"/>
        <w:ind w:left="851" w:right="1088"/>
        <w:rPr>
          <w:rFonts w:asciiTheme="minorHAnsi" w:hAnsiTheme="minorHAnsi" w:cstheme="minorHAnsi"/>
          <w:color w:val="000000"/>
          <w:sz w:val="22"/>
          <w:szCs w:val="22"/>
        </w:rPr>
      </w:pPr>
      <w:r w:rsidRPr="005319F9">
        <w:rPr>
          <w:rFonts w:asciiTheme="minorHAnsi" w:hAnsiTheme="minorHAnsi" w:cstheme="minorHAnsi"/>
          <w:color w:val="000000"/>
          <w:sz w:val="22"/>
          <w:szCs w:val="22"/>
        </w:rPr>
        <w:t>information prescribed by regulation.</w:t>
      </w:r>
    </w:p>
    <w:p w14:paraId="7ED8E5A9" w14:textId="77777777" w:rsidR="005319F9" w:rsidRPr="005319F9" w:rsidRDefault="005319F9" w:rsidP="005319F9">
      <w:pPr>
        <w:pStyle w:val="apara"/>
        <w:shd w:val="clear" w:color="auto" w:fill="FFFFFF"/>
        <w:spacing w:before="0" w:beforeAutospacing="0" w:after="0" w:afterAutospacing="0"/>
        <w:ind w:right="1088"/>
        <w:rPr>
          <w:rFonts w:asciiTheme="minorHAnsi" w:hAnsiTheme="minorHAnsi" w:cstheme="minorHAnsi"/>
          <w:color w:val="000000"/>
          <w:sz w:val="22"/>
          <w:szCs w:val="22"/>
        </w:rPr>
      </w:pPr>
    </w:p>
    <w:p w14:paraId="4B4CA8AC" w14:textId="7CED91DE" w:rsidR="00D30C78" w:rsidRDefault="00D30C78" w:rsidP="00B4527D">
      <w:pPr>
        <w:pStyle w:val="Default"/>
        <w:rPr>
          <w:rFonts w:asciiTheme="minorHAnsi" w:hAnsiTheme="minorHAnsi" w:cstheme="minorHAnsi"/>
          <w:sz w:val="22"/>
          <w:szCs w:val="22"/>
        </w:rPr>
      </w:pPr>
      <w:r w:rsidRPr="00333880">
        <w:rPr>
          <w:rFonts w:asciiTheme="minorHAnsi" w:hAnsiTheme="minorHAnsi" w:cstheme="minorHAnsi"/>
          <w:sz w:val="22"/>
          <w:szCs w:val="22"/>
        </w:rPr>
        <w:t xml:space="preserve">As a </w:t>
      </w:r>
      <w:r w:rsidR="00B95E75" w:rsidRPr="00333880">
        <w:rPr>
          <w:rFonts w:asciiTheme="minorHAnsi" w:hAnsiTheme="minorHAnsi" w:cstheme="minorHAnsi"/>
          <w:sz w:val="22"/>
          <w:szCs w:val="22"/>
        </w:rPr>
        <w:t>government</w:t>
      </w:r>
      <w:r w:rsidRPr="00333880">
        <w:rPr>
          <w:rFonts w:asciiTheme="minorHAnsi" w:hAnsiTheme="minorHAnsi" w:cstheme="minorHAnsi"/>
          <w:sz w:val="22"/>
          <w:szCs w:val="22"/>
        </w:rPr>
        <w:t xml:space="preserve"> agency the CFC is required to publish </w:t>
      </w:r>
      <w:r>
        <w:rPr>
          <w:rFonts w:asciiTheme="minorHAnsi" w:hAnsiTheme="minorHAnsi" w:cstheme="minorHAnsi"/>
          <w:sz w:val="22"/>
          <w:szCs w:val="22"/>
        </w:rPr>
        <w:t>o</w:t>
      </w:r>
      <w:r w:rsidRPr="00333880">
        <w:rPr>
          <w:rFonts w:asciiTheme="minorHAnsi" w:hAnsiTheme="minorHAnsi" w:cstheme="minorHAnsi"/>
          <w:sz w:val="22"/>
          <w:szCs w:val="22"/>
        </w:rPr>
        <w:t xml:space="preserve">pen </w:t>
      </w:r>
      <w:r>
        <w:rPr>
          <w:rFonts w:asciiTheme="minorHAnsi" w:hAnsiTheme="minorHAnsi" w:cstheme="minorHAnsi"/>
          <w:sz w:val="22"/>
          <w:szCs w:val="22"/>
        </w:rPr>
        <w:t>a</w:t>
      </w:r>
      <w:r w:rsidRPr="00333880">
        <w:rPr>
          <w:rFonts w:asciiTheme="minorHAnsi" w:hAnsiTheme="minorHAnsi" w:cstheme="minorHAnsi"/>
          <w:sz w:val="22"/>
          <w:szCs w:val="22"/>
        </w:rPr>
        <w:t>ccess government information on its public facing website, excluding disclosure of information deemed contrary to public interest, public safety</w:t>
      </w:r>
      <w:r w:rsidR="00B95E75">
        <w:rPr>
          <w:rFonts w:asciiTheme="minorHAnsi" w:hAnsiTheme="minorHAnsi" w:cstheme="minorHAnsi"/>
          <w:sz w:val="22"/>
          <w:szCs w:val="22"/>
        </w:rPr>
        <w:t>,</w:t>
      </w:r>
      <w:r w:rsidRPr="00333880">
        <w:rPr>
          <w:rFonts w:asciiTheme="minorHAnsi" w:hAnsiTheme="minorHAnsi" w:cstheme="minorHAnsi"/>
          <w:sz w:val="22"/>
          <w:szCs w:val="22"/>
        </w:rPr>
        <w:t xml:space="preserve"> or the private or business affairs of others </w:t>
      </w:r>
      <w:r w:rsidRPr="00D30C78">
        <w:rPr>
          <w:rFonts w:asciiTheme="minorHAnsi" w:hAnsiTheme="minorHAnsi" w:cstheme="minorHAnsi"/>
          <w:sz w:val="22"/>
          <w:szCs w:val="22"/>
        </w:rPr>
        <w:t>(</w:t>
      </w:r>
      <w:r w:rsidR="002320AF">
        <w:rPr>
          <w:rFonts w:asciiTheme="minorHAnsi" w:hAnsiTheme="minorHAnsi" w:cstheme="minorHAnsi"/>
          <w:sz w:val="22"/>
          <w:szCs w:val="22"/>
        </w:rPr>
        <w:t xml:space="preserve">Section </w:t>
      </w:r>
      <w:r w:rsidRPr="00D30C78">
        <w:rPr>
          <w:rFonts w:asciiTheme="minorHAnsi" w:hAnsiTheme="minorHAnsi" w:cstheme="minorHAnsi"/>
          <w:sz w:val="22"/>
          <w:szCs w:val="22"/>
        </w:rPr>
        <w:t>17 of the FOI Act).</w:t>
      </w:r>
      <w:r>
        <w:rPr>
          <w:rFonts w:asciiTheme="minorHAnsi" w:hAnsiTheme="minorHAnsi" w:cstheme="minorHAnsi"/>
          <w:sz w:val="22"/>
          <w:szCs w:val="22"/>
        </w:rPr>
        <w:t xml:space="preserve"> </w:t>
      </w:r>
      <w:r w:rsidRPr="00D30C78">
        <w:rPr>
          <w:sz w:val="22"/>
          <w:szCs w:val="22"/>
        </w:rPr>
        <w:t>Such information could include policy documents comprising of law enforcement information that is assessed as being contrary to the public interest (for example, where the information, if disclosed, could prejudice a current investigation or law enforcement methodology or procedures).</w:t>
      </w:r>
    </w:p>
    <w:p w14:paraId="67E2A654" w14:textId="77777777" w:rsidR="00D30C78" w:rsidRDefault="00D30C78" w:rsidP="00B4527D">
      <w:pPr>
        <w:pStyle w:val="Default"/>
        <w:rPr>
          <w:rFonts w:asciiTheme="minorHAnsi" w:hAnsiTheme="minorHAnsi" w:cstheme="minorHAnsi"/>
          <w:sz w:val="22"/>
          <w:szCs w:val="22"/>
        </w:rPr>
      </w:pPr>
    </w:p>
    <w:p w14:paraId="322C68A9" w14:textId="2FF7E82C" w:rsidR="00FF353E" w:rsidRPr="00420F99" w:rsidRDefault="00FF353E" w:rsidP="00B4527D">
      <w:pPr>
        <w:pStyle w:val="adefpara"/>
        <w:shd w:val="clear" w:color="auto" w:fill="FFFFFF"/>
        <w:spacing w:before="0" w:beforeAutospacing="0" w:after="0" w:afterAutospacing="0"/>
        <w:ind w:right="1088"/>
        <w:rPr>
          <w:rFonts w:asciiTheme="minorHAnsi" w:hAnsiTheme="minorHAnsi" w:cstheme="minorHAnsi"/>
          <w:b/>
          <w:bCs/>
          <w:color w:val="000000"/>
          <w:sz w:val="22"/>
          <w:szCs w:val="22"/>
        </w:rPr>
      </w:pPr>
      <w:r w:rsidRPr="00420F99">
        <w:rPr>
          <w:rFonts w:asciiTheme="minorHAnsi" w:hAnsiTheme="minorHAnsi" w:cstheme="minorHAnsi"/>
          <w:b/>
          <w:bCs/>
          <w:color w:val="000000"/>
          <w:sz w:val="22"/>
          <w:szCs w:val="22"/>
        </w:rPr>
        <w:t>Responsibilities</w:t>
      </w:r>
    </w:p>
    <w:p w14:paraId="6E5247C8" w14:textId="77777777" w:rsidR="00FF353E" w:rsidRDefault="00FF353E" w:rsidP="00B4527D">
      <w:pPr>
        <w:pStyle w:val="adefpara"/>
        <w:shd w:val="clear" w:color="auto" w:fill="FFFFFF"/>
        <w:spacing w:before="0" w:beforeAutospacing="0" w:after="0" w:afterAutospacing="0"/>
        <w:ind w:right="1088"/>
        <w:rPr>
          <w:rFonts w:asciiTheme="minorHAnsi" w:hAnsiTheme="minorHAnsi" w:cstheme="minorHAnsi"/>
          <w:color w:val="000000"/>
          <w:sz w:val="22"/>
          <w:szCs w:val="22"/>
        </w:rPr>
      </w:pPr>
    </w:p>
    <w:p w14:paraId="285F2C11" w14:textId="3ED87A45" w:rsidR="00FF353E" w:rsidRPr="00F04A21" w:rsidRDefault="00FF353E" w:rsidP="00B4527D">
      <w:pPr>
        <w:pStyle w:val="Header"/>
        <w:rPr>
          <w:rFonts w:cstheme="minorHAnsi"/>
          <w:b/>
          <w:bCs/>
        </w:rPr>
      </w:pPr>
      <w:r>
        <w:rPr>
          <w:rFonts w:cstheme="minorHAnsi"/>
        </w:rPr>
        <w:t xml:space="preserve">FOI </w:t>
      </w:r>
      <w:r w:rsidRPr="007C4193">
        <w:rPr>
          <w:rFonts w:cstheme="minorHAnsi"/>
        </w:rPr>
        <w:t xml:space="preserve">Information Officers appointed under the </w:t>
      </w:r>
      <w:r>
        <w:rPr>
          <w:rFonts w:cstheme="minorHAnsi"/>
        </w:rPr>
        <w:t>FOI</w:t>
      </w:r>
      <w:r w:rsidRPr="007C4193">
        <w:rPr>
          <w:rFonts w:cstheme="minorHAnsi"/>
        </w:rPr>
        <w:t xml:space="preserve"> Act, are </w:t>
      </w:r>
      <w:r>
        <w:rPr>
          <w:rFonts w:cstheme="minorHAnsi"/>
        </w:rPr>
        <w:t>respons</w:t>
      </w:r>
      <w:r w:rsidRPr="007C4193">
        <w:rPr>
          <w:rFonts w:cstheme="minorHAnsi"/>
        </w:rPr>
        <w:t xml:space="preserve">ible for ensuring the agency meets its obligations to publish </w:t>
      </w:r>
      <w:r>
        <w:rPr>
          <w:rFonts w:cstheme="minorHAnsi"/>
        </w:rPr>
        <w:t>o</w:t>
      </w:r>
      <w:r w:rsidRPr="007C4193">
        <w:rPr>
          <w:rFonts w:cstheme="minorHAnsi"/>
        </w:rPr>
        <w:t xml:space="preserve">pen </w:t>
      </w:r>
      <w:r>
        <w:rPr>
          <w:rFonts w:cstheme="minorHAnsi"/>
        </w:rPr>
        <w:t>a</w:t>
      </w:r>
      <w:r w:rsidRPr="007C4193">
        <w:rPr>
          <w:rFonts w:cstheme="minorHAnsi"/>
        </w:rPr>
        <w:t xml:space="preserve">ccess </w:t>
      </w:r>
      <w:r>
        <w:rPr>
          <w:rFonts w:cstheme="minorHAnsi"/>
        </w:rPr>
        <w:t>i</w:t>
      </w:r>
      <w:r w:rsidRPr="007C4193">
        <w:rPr>
          <w:rFonts w:cstheme="minorHAnsi"/>
        </w:rPr>
        <w:t xml:space="preserve">nformation under </w:t>
      </w:r>
      <w:r w:rsidR="00D30C78">
        <w:rPr>
          <w:rFonts w:cstheme="minorHAnsi"/>
        </w:rPr>
        <w:t>P</w:t>
      </w:r>
      <w:r w:rsidRPr="007C4193">
        <w:rPr>
          <w:rFonts w:cstheme="minorHAnsi"/>
        </w:rPr>
        <w:t>art 4 of the</w:t>
      </w:r>
      <w:r>
        <w:rPr>
          <w:rFonts w:cstheme="minorHAnsi"/>
        </w:rPr>
        <w:t xml:space="preserve"> FOI</w:t>
      </w:r>
      <w:r w:rsidRPr="007C4193">
        <w:rPr>
          <w:rFonts w:cstheme="minorHAnsi"/>
        </w:rPr>
        <w:t xml:space="preserve"> Act. </w:t>
      </w:r>
      <w:r w:rsidR="00D30C78">
        <w:rPr>
          <w:rFonts w:cstheme="minorHAnsi"/>
        </w:rPr>
        <w:t xml:space="preserve">The CFC has the following </w:t>
      </w:r>
      <w:r w:rsidR="00B95E75">
        <w:rPr>
          <w:rFonts w:cstheme="minorHAnsi"/>
        </w:rPr>
        <w:t xml:space="preserve">FOI </w:t>
      </w:r>
      <w:r w:rsidR="00D30C78">
        <w:rPr>
          <w:rFonts w:cstheme="minorHAnsi"/>
        </w:rPr>
        <w:t>I</w:t>
      </w:r>
      <w:r w:rsidRPr="007C4193">
        <w:rPr>
          <w:rFonts w:cstheme="minorHAnsi"/>
        </w:rPr>
        <w:t xml:space="preserve">nformation </w:t>
      </w:r>
      <w:r w:rsidR="00D30C78">
        <w:rPr>
          <w:rFonts w:cstheme="minorHAnsi"/>
        </w:rPr>
        <w:t>O</w:t>
      </w:r>
      <w:r w:rsidRPr="007C4193">
        <w:rPr>
          <w:rFonts w:cstheme="minorHAnsi"/>
        </w:rPr>
        <w:t xml:space="preserve">fficers: </w:t>
      </w:r>
    </w:p>
    <w:p w14:paraId="662A4145" w14:textId="0D9BFB9A" w:rsidR="00FF353E" w:rsidRPr="002320AF" w:rsidRDefault="00FF353E" w:rsidP="00B21528">
      <w:pPr>
        <w:pStyle w:val="Header"/>
        <w:numPr>
          <w:ilvl w:val="0"/>
          <w:numId w:val="9"/>
        </w:numPr>
        <w:spacing w:beforeAutospacing="1" w:afterAutospacing="1"/>
        <w:ind w:left="851"/>
        <w:rPr>
          <w:rFonts w:cstheme="minorHAnsi"/>
          <w:b/>
          <w:bCs/>
        </w:rPr>
      </w:pPr>
      <w:r w:rsidRPr="002320AF">
        <w:rPr>
          <w:rFonts w:cstheme="minorHAnsi"/>
        </w:rPr>
        <w:t>Chief Financial Officer (CFO), Corporate</w:t>
      </w:r>
      <w:r w:rsidR="00420F99" w:rsidRPr="002320AF">
        <w:rPr>
          <w:rFonts w:cstheme="minorHAnsi"/>
        </w:rPr>
        <w:t>,</w:t>
      </w:r>
      <w:r w:rsidRPr="002320AF">
        <w:rPr>
          <w:rFonts w:cstheme="minorHAnsi"/>
        </w:rPr>
        <w:t xml:space="preserve"> Finance and Human </w:t>
      </w:r>
      <w:proofErr w:type="gramStart"/>
      <w:r w:rsidRPr="002320AF">
        <w:rPr>
          <w:rFonts w:cstheme="minorHAnsi"/>
        </w:rPr>
        <w:t>Resources</w:t>
      </w:r>
      <w:r w:rsidR="002320AF">
        <w:rPr>
          <w:rFonts w:cstheme="minorHAnsi"/>
        </w:rPr>
        <w:t>;</w:t>
      </w:r>
      <w:proofErr w:type="gramEnd"/>
      <w:r w:rsidRPr="002320AF">
        <w:rPr>
          <w:rFonts w:cstheme="minorHAnsi"/>
        </w:rPr>
        <w:t xml:space="preserve"> </w:t>
      </w:r>
    </w:p>
    <w:p w14:paraId="7E16DDA3" w14:textId="76422953" w:rsidR="00FF353E" w:rsidRPr="002320AF" w:rsidRDefault="00FF353E" w:rsidP="00B21528">
      <w:pPr>
        <w:pStyle w:val="Header"/>
        <w:numPr>
          <w:ilvl w:val="0"/>
          <w:numId w:val="9"/>
        </w:numPr>
        <w:spacing w:beforeAutospacing="1" w:afterAutospacing="1"/>
        <w:ind w:left="851"/>
        <w:rPr>
          <w:rFonts w:cstheme="minorHAnsi"/>
          <w:b/>
          <w:bCs/>
        </w:rPr>
      </w:pPr>
      <w:r w:rsidRPr="002320AF">
        <w:rPr>
          <w:rFonts w:cstheme="minorHAnsi"/>
        </w:rPr>
        <w:t>Corporate and Compliance Officer, Corporate</w:t>
      </w:r>
      <w:r w:rsidR="00420F99" w:rsidRPr="002320AF">
        <w:rPr>
          <w:rFonts w:cstheme="minorHAnsi"/>
        </w:rPr>
        <w:t xml:space="preserve"> and</w:t>
      </w:r>
      <w:r w:rsidRPr="002320AF">
        <w:rPr>
          <w:rFonts w:cstheme="minorHAnsi"/>
        </w:rPr>
        <w:t xml:space="preserve"> Finance</w:t>
      </w:r>
      <w:r w:rsidR="00B4527D" w:rsidRPr="002320AF">
        <w:rPr>
          <w:rFonts w:cstheme="minorHAnsi"/>
        </w:rPr>
        <w:t>; and</w:t>
      </w:r>
    </w:p>
    <w:p w14:paraId="014B4E2E" w14:textId="162E3963" w:rsidR="00763A56" w:rsidRPr="002320AF" w:rsidRDefault="008018C3" w:rsidP="00B21528">
      <w:pPr>
        <w:pStyle w:val="Header"/>
        <w:numPr>
          <w:ilvl w:val="0"/>
          <w:numId w:val="9"/>
        </w:numPr>
        <w:spacing w:beforeAutospacing="1" w:afterAutospacing="1"/>
        <w:ind w:left="851"/>
        <w:rPr>
          <w:rFonts w:cstheme="minorHAnsi"/>
          <w:b/>
          <w:bCs/>
        </w:rPr>
      </w:pPr>
      <w:r w:rsidRPr="002320AF">
        <w:rPr>
          <w:rFonts w:cstheme="minorHAnsi"/>
        </w:rPr>
        <w:t xml:space="preserve">Executive </w:t>
      </w:r>
      <w:r w:rsidR="00310960" w:rsidRPr="002320AF">
        <w:rPr>
          <w:rFonts w:cstheme="minorHAnsi"/>
        </w:rPr>
        <w:t>Support Officer</w:t>
      </w:r>
      <w:r w:rsidRPr="002320AF">
        <w:rPr>
          <w:rFonts w:cstheme="minorHAnsi"/>
        </w:rPr>
        <w:t>, Corporate.</w:t>
      </w:r>
    </w:p>
    <w:p w14:paraId="261154CA" w14:textId="42C29551" w:rsidR="00763A56" w:rsidRPr="00763A56" w:rsidRDefault="00763A56" w:rsidP="00763A56">
      <w:pPr>
        <w:pStyle w:val="Header"/>
        <w:spacing w:beforeAutospacing="1" w:afterAutospacing="1"/>
        <w:rPr>
          <w:b/>
          <w:bCs/>
        </w:rPr>
      </w:pPr>
      <w:r w:rsidRPr="00763A56">
        <w:rPr>
          <w:b/>
          <w:bCs/>
        </w:rPr>
        <w:t>Compliance Strategies</w:t>
      </w:r>
      <w:r w:rsidR="003420A6">
        <w:rPr>
          <w:b/>
          <w:bCs/>
        </w:rPr>
        <w:t xml:space="preserve"> and Procedures</w:t>
      </w:r>
    </w:p>
    <w:p w14:paraId="34ECEEA7" w14:textId="4101E15E" w:rsidR="00B21528" w:rsidRPr="00B21528" w:rsidRDefault="003420A6" w:rsidP="00B21528">
      <w:pPr>
        <w:pStyle w:val="apara"/>
        <w:numPr>
          <w:ilvl w:val="0"/>
          <w:numId w:val="10"/>
        </w:numPr>
        <w:shd w:val="clear" w:color="auto" w:fill="FFFFFF"/>
        <w:spacing w:before="0" w:beforeAutospacing="0" w:after="0" w:afterAutospacing="0"/>
        <w:ind w:left="851" w:right="-46"/>
        <w:rPr>
          <w:rFonts w:asciiTheme="minorHAnsi" w:hAnsiTheme="minorHAnsi" w:cstheme="minorHAnsi"/>
          <w:color w:val="000000"/>
          <w:sz w:val="22"/>
          <w:szCs w:val="22"/>
        </w:rPr>
      </w:pPr>
      <w:r w:rsidRPr="00B21528">
        <w:rPr>
          <w:rFonts w:asciiTheme="minorHAnsi" w:hAnsiTheme="minorHAnsi" w:cstheme="minorHAnsi"/>
          <w:color w:val="000000"/>
          <w:sz w:val="22"/>
          <w:szCs w:val="22"/>
        </w:rPr>
        <w:t>CFC staff are to undertake the initial identification and assessment of documents falling under the category of open access information</w:t>
      </w:r>
      <w:r w:rsidR="00B21528">
        <w:rPr>
          <w:rFonts w:asciiTheme="minorHAnsi" w:hAnsiTheme="minorHAnsi" w:cstheme="minorHAnsi"/>
          <w:color w:val="000000"/>
          <w:sz w:val="22"/>
          <w:szCs w:val="22"/>
        </w:rPr>
        <w:t>,</w:t>
      </w:r>
      <w:r w:rsidRPr="00B21528">
        <w:rPr>
          <w:rFonts w:asciiTheme="minorHAnsi" w:hAnsiTheme="minorHAnsi" w:cstheme="minorHAnsi"/>
          <w:color w:val="000000"/>
          <w:sz w:val="22"/>
          <w:szCs w:val="22"/>
        </w:rPr>
        <w:t xml:space="preserve"> and the suitability of publishing information</w:t>
      </w:r>
      <w:r w:rsidR="00B95E75">
        <w:rPr>
          <w:rFonts w:asciiTheme="minorHAnsi" w:hAnsiTheme="minorHAnsi" w:cstheme="minorHAnsi"/>
          <w:color w:val="000000"/>
          <w:sz w:val="22"/>
          <w:szCs w:val="22"/>
        </w:rPr>
        <w:t>.</w:t>
      </w:r>
    </w:p>
    <w:p w14:paraId="2170D5E7" w14:textId="002FA666" w:rsidR="00B21528" w:rsidRPr="00B21528" w:rsidRDefault="00B21528" w:rsidP="00B21528">
      <w:pPr>
        <w:pStyle w:val="apara"/>
        <w:numPr>
          <w:ilvl w:val="0"/>
          <w:numId w:val="10"/>
        </w:numPr>
        <w:shd w:val="clear" w:color="auto" w:fill="FFFFFF"/>
        <w:spacing w:before="0" w:beforeAutospacing="0" w:after="0" w:afterAutospacing="0"/>
        <w:ind w:left="851" w:right="-46"/>
        <w:rPr>
          <w:rFonts w:asciiTheme="minorHAnsi" w:hAnsiTheme="minorHAnsi" w:cstheme="minorHAnsi"/>
          <w:color w:val="000000"/>
          <w:sz w:val="22"/>
          <w:szCs w:val="22"/>
        </w:rPr>
      </w:pPr>
      <w:r w:rsidRPr="00B21528">
        <w:rPr>
          <w:rFonts w:asciiTheme="minorHAnsi" w:hAnsiTheme="minorHAnsi" w:cstheme="minorHAnsi"/>
          <w:color w:val="000000"/>
          <w:sz w:val="22"/>
          <w:szCs w:val="22"/>
        </w:rPr>
        <w:t>Wherever possible, open access considerations will be incorporated into the document creation and approval process to ensure it is suitable for public access</w:t>
      </w:r>
      <w:r w:rsidR="00B95E75">
        <w:rPr>
          <w:rFonts w:asciiTheme="minorHAnsi" w:hAnsiTheme="minorHAnsi" w:cstheme="minorHAnsi"/>
          <w:color w:val="000000"/>
          <w:sz w:val="22"/>
          <w:szCs w:val="22"/>
        </w:rPr>
        <w:t>.</w:t>
      </w:r>
    </w:p>
    <w:p w14:paraId="4C697537" w14:textId="4788C224" w:rsidR="00B21528" w:rsidRPr="00B21528" w:rsidRDefault="00B95E75" w:rsidP="00B21528">
      <w:pPr>
        <w:pStyle w:val="apara"/>
        <w:numPr>
          <w:ilvl w:val="0"/>
          <w:numId w:val="10"/>
        </w:numPr>
        <w:shd w:val="clear" w:color="auto" w:fill="FFFFFF"/>
        <w:spacing w:before="0" w:beforeAutospacing="0" w:after="0" w:afterAutospacing="0"/>
        <w:ind w:left="851" w:right="-46"/>
        <w:rPr>
          <w:rFonts w:asciiTheme="minorHAnsi" w:hAnsiTheme="minorHAnsi" w:cstheme="minorHAnsi"/>
          <w:color w:val="000000"/>
          <w:sz w:val="22"/>
          <w:szCs w:val="22"/>
        </w:rPr>
      </w:pPr>
      <w:r>
        <w:rPr>
          <w:rFonts w:asciiTheme="minorHAnsi" w:hAnsiTheme="minorHAnsi" w:cstheme="minorHAnsi"/>
          <w:color w:val="000000"/>
          <w:sz w:val="22"/>
          <w:szCs w:val="22"/>
        </w:rPr>
        <w:t xml:space="preserve">The </w:t>
      </w:r>
      <w:r w:rsidR="00B21528" w:rsidRPr="00B21528">
        <w:rPr>
          <w:rFonts w:asciiTheme="minorHAnsi" w:hAnsiTheme="minorHAnsi" w:cstheme="minorHAnsi"/>
          <w:color w:val="000000"/>
          <w:sz w:val="22"/>
          <w:szCs w:val="22"/>
        </w:rPr>
        <w:t xml:space="preserve">CFC’s </w:t>
      </w:r>
      <w:r>
        <w:rPr>
          <w:rFonts w:asciiTheme="minorHAnsi" w:hAnsiTheme="minorHAnsi" w:cstheme="minorHAnsi"/>
          <w:color w:val="000000"/>
          <w:sz w:val="22"/>
          <w:szCs w:val="22"/>
        </w:rPr>
        <w:t xml:space="preserve">FOI </w:t>
      </w:r>
      <w:r w:rsidR="00B21528" w:rsidRPr="00B21528">
        <w:rPr>
          <w:rFonts w:asciiTheme="minorHAnsi" w:hAnsiTheme="minorHAnsi" w:cstheme="minorHAnsi"/>
          <w:color w:val="000000"/>
          <w:sz w:val="22"/>
          <w:szCs w:val="22"/>
        </w:rPr>
        <w:t xml:space="preserve">Information Officers assist staff in assessing whether information is </w:t>
      </w:r>
      <w:bookmarkStart w:id="1" w:name="_Hlk168054328"/>
      <w:r w:rsidR="00B21528" w:rsidRPr="00B21528">
        <w:rPr>
          <w:rFonts w:asciiTheme="minorHAnsi" w:hAnsiTheme="minorHAnsi" w:cstheme="minorHAnsi"/>
          <w:color w:val="000000"/>
          <w:sz w:val="22"/>
          <w:szCs w:val="22"/>
        </w:rPr>
        <w:t>contrary to the public interest to disclose</w:t>
      </w:r>
      <w:bookmarkEnd w:id="1"/>
      <w:r w:rsidR="00B21528" w:rsidRPr="00B21528">
        <w:rPr>
          <w:rFonts w:asciiTheme="minorHAnsi" w:hAnsiTheme="minorHAnsi" w:cstheme="minorHAnsi"/>
          <w:color w:val="000000"/>
          <w:sz w:val="22"/>
          <w:szCs w:val="22"/>
        </w:rPr>
        <w:t>, exercising their delegated functions in accordance with the</w:t>
      </w:r>
      <w:r w:rsidR="00B21528" w:rsidRPr="00B21528">
        <w:rPr>
          <w:rFonts w:asciiTheme="minorHAnsi" w:eastAsiaTheme="minorHAnsi" w:hAnsiTheme="minorHAnsi" w:cstheme="minorHAnsi"/>
          <w:kern w:val="2"/>
          <w:sz w:val="22"/>
          <w:szCs w:val="22"/>
          <w:lang w:eastAsia="en-US"/>
          <w14:ligatures w14:val="standardContextual"/>
        </w:rPr>
        <w:t xml:space="preserve"> </w:t>
      </w:r>
      <w:hyperlink r:id="rId9" w:history="1">
        <w:r w:rsidR="00B21528" w:rsidRPr="002320AF">
          <w:rPr>
            <w:rStyle w:val="Hyperlink"/>
            <w:rFonts w:asciiTheme="minorHAnsi" w:hAnsiTheme="minorHAnsi" w:cstheme="minorHAnsi"/>
            <w:i/>
            <w:iCs/>
            <w:sz w:val="22"/>
            <w:szCs w:val="22"/>
            <w:u w:val="none"/>
          </w:rPr>
          <w:t>Freedom of Information Act 2016</w:t>
        </w:r>
      </w:hyperlink>
      <w:r w:rsidR="00B21528" w:rsidRPr="00B21528">
        <w:rPr>
          <w:rStyle w:val="Hyperlink"/>
          <w:rFonts w:asciiTheme="minorHAnsi" w:hAnsiTheme="minorHAnsi" w:cstheme="minorHAnsi"/>
          <w:i/>
          <w:iCs/>
          <w:sz w:val="22"/>
          <w:szCs w:val="22"/>
          <w:u w:val="none"/>
        </w:rPr>
        <w:t xml:space="preserve"> </w:t>
      </w:r>
      <w:r w:rsidR="00B21528" w:rsidRPr="00B21528">
        <w:rPr>
          <w:rStyle w:val="Hyperlink"/>
          <w:rFonts w:asciiTheme="minorHAnsi" w:hAnsiTheme="minorHAnsi" w:cstheme="minorHAnsi"/>
          <w:color w:val="auto"/>
          <w:sz w:val="22"/>
          <w:szCs w:val="22"/>
          <w:u w:val="none"/>
        </w:rPr>
        <w:t>(</w:t>
      </w:r>
      <w:r w:rsidR="002320AF">
        <w:rPr>
          <w:rStyle w:val="Hyperlink"/>
          <w:rFonts w:asciiTheme="minorHAnsi" w:hAnsiTheme="minorHAnsi" w:cstheme="minorHAnsi"/>
          <w:color w:val="auto"/>
          <w:sz w:val="22"/>
          <w:szCs w:val="22"/>
          <w:u w:val="none"/>
        </w:rPr>
        <w:t xml:space="preserve">Section </w:t>
      </w:r>
      <w:r w:rsidR="00B21528" w:rsidRPr="00B21528">
        <w:rPr>
          <w:rStyle w:val="Hyperlink"/>
          <w:rFonts w:asciiTheme="minorHAnsi" w:hAnsiTheme="minorHAnsi" w:cstheme="minorHAnsi"/>
          <w:color w:val="auto"/>
          <w:sz w:val="22"/>
          <w:szCs w:val="22"/>
          <w:u w:val="none"/>
        </w:rPr>
        <w:t>3.1)</w:t>
      </w:r>
      <w:r w:rsidR="00B21528" w:rsidRPr="00B21528">
        <w:rPr>
          <w:rFonts w:asciiTheme="minorHAnsi" w:hAnsiTheme="minorHAnsi" w:cstheme="minorHAnsi"/>
          <w:i/>
          <w:iCs/>
          <w:sz w:val="22"/>
          <w:szCs w:val="22"/>
        </w:rPr>
        <w:t xml:space="preserve"> </w:t>
      </w:r>
      <w:r w:rsidR="00B21528" w:rsidRPr="00B21528">
        <w:rPr>
          <w:rFonts w:asciiTheme="minorHAnsi" w:eastAsiaTheme="minorHAnsi" w:hAnsiTheme="minorHAnsi" w:cstheme="minorHAnsi"/>
          <w:kern w:val="2"/>
          <w:sz w:val="22"/>
          <w:szCs w:val="22"/>
          <w:lang w:eastAsia="en-US"/>
          <w14:ligatures w14:val="standardContextual"/>
        </w:rPr>
        <w:t xml:space="preserve">and the best practice approaches outlined in </w:t>
      </w:r>
      <w:r w:rsidR="00B21528" w:rsidRPr="002320AF">
        <w:rPr>
          <w:rFonts w:asciiTheme="minorHAnsi" w:eastAsiaTheme="minorHAnsi" w:hAnsiTheme="minorHAnsi" w:cstheme="minorHAnsi"/>
          <w:kern w:val="2"/>
          <w:sz w:val="22"/>
          <w:szCs w:val="22"/>
          <w:lang w:eastAsia="en-US"/>
          <w14:ligatures w14:val="standardContextual"/>
        </w:rPr>
        <w:t>the</w:t>
      </w:r>
      <w:r w:rsidR="00B21528" w:rsidRPr="002320AF">
        <w:rPr>
          <w:rFonts w:asciiTheme="minorHAnsi" w:hAnsiTheme="minorHAnsi" w:cstheme="minorHAnsi"/>
          <w:sz w:val="22"/>
          <w:szCs w:val="22"/>
        </w:rPr>
        <w:t xml:space="preserve"> </w:t>
      </w:r>
      <w:bookmarkStart w:id="2" w:name="_Hlk168055802"/>
      <w:r w:rsidR="00B21528" w:rsidRPr="002320AF">
        <w:fldChar w:fldCharType="begin"/>
      </w:r>
      <w:r w:rsidR="00B21528" w:rsidRPr="002320AF">
        <w:rPr>
          <w:rFonts w:asciiTheme="minorHAnsi" w:hAnsiTheme="minorHAnsi" w:cstheme="minorHAnsi"/>
          <w:sz w:val="22"/>
          <w:szCs w:val="22"/>
        </w:rPr>
        <w:instrText>HYPERLINK "https://www.ombudsman.act.gov.au/__data/assets/pdf_file/0026/296036/1.-Ombudsman-Guidelines-Open-Access-Information-March-2020.pdf"</w:instrText>
      </w:r>
      <w:r w:rsidR="00B21528" w:rsidRPr="002320AF">
        <w:fldChar w:fldCharType="separate"/>
      </w:r>
      <w:r w:rsidR="00B21528" w:rsidRPr="002320AF">
        <w:rPr>
          <w:rStyle w:val="Hyperlink"/>
          <w:rFonts w:asciiTheme="minorHAnsi" w:hAnsiTheme="minorHAnsi" w:cstheme="minorHAnsi"/>
          <w:i/>
          <w:iCs/>
          <w:sz w:val="22"/>
          <w:szCs w:val="22"/>
          <w:u w:val="none"/>
        </w:rPr>
        <w:t>ACT Ombudsman Freedom of Information Guidelines 2019</w:t>
      </w:r>
      <w:r w:rsidR="00B21528" w:rsidRPr="002320AF">
        <w:rPr>
          <w:rStyle w:val="Hyperlink"/>
          <w:rFonts w:asciiTheme="minorHAnsi" w:hAnsiTheme="minorHAnsi" w:cstheme="minorHAnsi"/>
          <w:i/>
          <w:iCs/>
          <w:sz w:val="22"/>
          <w:szCs w:val="22"/>
          <w:u w:val="none"/>
        </w:rPr>
        <w:fldChar w:fldCharType="end"/>
      </w:r>
      <w:r>
        <w:rPr>
          <w:rFonts w:asciiTheme="minorHAnsi" w:hAnsiTheme="minorHAnsi" w:cstheme="minorHAnsi"/>
          <w:sz w:val="22"/>
          <w:szCs w:val="22"/>
        </w:rPr>
        <w:t>.</w:t>
      </w:r>
      <w:bookmarkEnd w:id="2"/>
    </w:p>
    <w:p w14:paraId="48BCC11D" w14:textId="64B51029" w:rsidR="00763A56" w:rsidRPr="00B21528" w:rsidRDefault="00B95E75" w:rsidP="00B21528">
      <w:pPr>
        <w:pStyle w:val="apara"/>
        <w:numPr>
          <w:ilvl w:val="0"/>
          <w:numId w:val="10"/>
        </w:numPr>
        <w:shd w:val="clear" w:color="auto" w:fill="FFFFFF"/>
        <w:spacing w:before="0" w:after="0"/>
        <w:ind w:left="851" w:right="-46"/>
        <w:rPr>
          <w:rFonts w:asciiTheme="minorHAnsi" w:hAnsiTheme="minorHAnsi" w:cstheme="minorHAnsi"/>
          <w:color w:val="000000"/>
          <w:sz w:val="22"/>
          <w:szCs w:val="22"/>
        </w:rPr>
      </w:pPr>
      <w:r>
        <w:rPr>
          <w:rFonts w:asciiTheme="minorHAnsi" w:hAnsiTheme="minorHAnsi" w:cstheme="minorHAnsi"/>
          <w:color w:val="000000"/>
          <w:sz w:val="22"/>
          <w:szCs w:val="22"/>
        </w:rPr>
        <w:t xml:space="preserve">The </w:t>
      </w:r>
      <w:r w:rsidR="00763A56" w:rsidRPr="00B21528">
        <w:rPr>
          <w:rFonts w:asciiTheme="minorHAnsi" w:hAnsiTheme="minorHAnsi" w:cstheme="minorHAnsi"/>
          <w:color w:val="000000"/>
          <w:sz w:val="22"/>
          <w:szCs w:val="22"/>
        </w:rPr>
        <w:t xml:space="preserve">CFC’s </w:t>
      </w:r>
      <w:r w:rsidRPr="00B21528">
        <w:rPr>
          <w:rFonts w:asciiTheme="minorHAnsi" w:hAnsiTheme="minorHAnsi" w:cstheme="minorHAnsi"/>
          <w:color w:val="000000"/>
          <w:sz w:val="22"/>
          <w:szCs w:val="22"/>
        </w:rPr>
        <w:t>C</w:t>
      </w:r>
      <w:r w:rsidR="00D11298">
        <w:rPr>
          <w:rFonts w:asciiTheme="minorHAnsi" w:hAnsiTheme="minorHAnsi" w:cstheme="minorHAnsi"/>
          <w:color w:val="000000"/>
          <w:sz w:val="22"/>
          <w:szCs w:val="22"/>
        </w:rPr>
        <w:t xml:space="preserve">hief </w:t>
      </w:r>
      <w:r w:rsidR="00962837">
        <w:rPr>
          <w:rFonts w:asciiTheme="minorHAnsi" w:hAnsiTheme="minorHAnsi" w:cstheme="minorHAnsi"/>
          <w:color w:val="000000"/>
          <w:sz w:val="22"/>
          <w:szCs w:val="22"/>
        </w:rPr>
        <w:t>E</w:t>
      </w:r>
      <w:r w:rsidR="00D11298">
        <w:rPr>
          <w:rFonts w:asciiTheme="minorHAnsi" w:hAnsiTheme="minorHAnsi" w:cstheme="minorHAnsi"/>
          <w:color w:val="000000"/>
          <w:sz w:val="22"/>
          <w:szCs w:val="22"/>
        </w:rPr>
        <w:t xml:space="preserve">xecutive </w:t>
      </w:r>
      <w:r w:rsidR="00962837">
        <w:rPr>
          <w:rFonts w:asciiTheme="minorHAnsi" w:hAnsiTheme="minorHAnsi" w:cstheme="minorHAnsi"/>
          <w:color w:val="000000"/>
          <w:sz w:val="22"/>
          <w:szCs w:val="22"/>
        </w:rPr>
        <w:t>O</w:t>
      </w:r>
      <w:r w:rsidR="00D11298">
        <w:rPr>
          <w:rFonts w:asciiTheme="minorHAnsi" w:hAnsiTheme="minorHAnsi" w:cstheme="minorHAnsi"/>
          <w:color w:val="000000"/>
          <w:sz w:val="22"/>
          <w:szCs w:val="22"/>
        </w:rPr>
        <w:t>ffice</w:t>
      </w:r>
      <w:r>
        <w:rPr>
          <w:rFonts w:asciiTheme="minorHAnsi" w:hAnsiTheme="minorHAnsi" w:cstheme="minorHAnsi"/>
          <w:color w:val="000000"/>
          <w:sz w:val="22"/>
          <w:szCs w:val="22"/>
        </w:rPr>
        <w:t>,</w:t>
      </w:r>
      <w:r w:rsidRPr="00B21528">
        <w:rPr>
          <w:rFonts w:asciiTheme="minorHAnsi" w:hAnsiTheme="minorHAnsi" w:cstheme="minorHAnsi"/>
          <w:color w:val="000000"/>
          <w:sz w:val="22"/>
          <w:szCs w:val="22"/>
        </w:rPr>
        <w:t xml:space="preserve"> </w:t>
      </w:r>
      <w:r w:rsidR="00962837">
        <w:rPr>
          <w:rFonts w:asciiTheme="minorHAnsi" w:hAnsiTheme="minorHAnsi" w:cstheme="minorHAnsi"/>
          <w:color w:val="000000"/>
          <w:sz w:val="22"/>
          <w:szCs w:val="22"/>
        </w:rPr>
        <w:t>C</w:t>
      </w:r>
      <w:r w:rsidR="00D11298">
        <w:rPr>
          <w:rFonts w:asciiTheme="minorHAnsi" w:hAnsiTheme="minorHAnsi" w:cstheme="minorHAnsi"/>
          <w:color w:val="000000"/>
          <w:sz w:val="22"/>
          <w:szCs w:val="22"/>
        </w:rPr>
        <w:t xml:space="preserve">hief </w:t>
      </w:r>
      <w:r w:rsidR="00962837">
        <w:rPr>
          <w:rFonts w:asciiTheme="minorHAnsi" w:hAnsiTheme="minorHAnsi" w:cstheme="minorHAnsi"/>
          <w:color w:val="000000"/>
          <w:sz w:val="22"/>
          <w:szCs w:val="22"/>
        </w:rPr>
        <w:t>F</w:t>
      </w:r>
      <w:r w:rsidR="00D11298">
        <w:rPr>
          <w:rFonts w:asciiTheme="minorHAnsi" w:hAnsiTheme="minorHAnsi" w:cstheme="minorHAnsi"/>
          <w:color w:val="000000"/>
          <w:sz w:val="22"/>
          <w:szCs w:val="22"/>
        </w:rPr>
        <w:t xml:space="preserve">inance </w:t>
      </w:r>
      <w:r w:rsidR="00962837">
        <w:rPr>
          <w:rFonts w:asciiTheme="minorHAnsi" w:hAnsiTheme="minorHAnsi" w:cstheme="minorHAnsi"/>
          <w:color w:val="000000"/>
          <w:sz w:val="22"/>
          <w:szCs w:val="22"/>
        </w:rPr>
        <w:t>O</w:t>
      </w:r>
      <w:r w:rsidR="00D11298">
        <w:rPr>
          <w:rFonts w:asciiTheme="minorHAnsi" w:hAnsiTheme="minorHAnsi" w:cstheme="minorHAnsi"/>
          <w:color w:val="000000"/>
          <w:sz w:val="22"/>
          <w:szCs w:val="22"/>
        </w:rPr>
        <w:t>ffice</w:t>
      </w:r>
      <w:r>
        <w:rPr>
          <w:rFonts w:asciiTheme="minorHAnsi" w:hAnsiTheme="minorHAnsi" w:cstheme="minorHAnsi"/>
          <w:color w:val="000000"/>
          <w:sz w:val="22"/>
          <w:szCs w:val="22"/>
        </w:rPr>
        <w:t>,</w:t>
      </w:r>
      <w:r w:rsidRPr="00B21528">
        <w:rPr>
          <w:rFonts w:asciiTheme="minorHAnsi" w:hAnsiTheme="minorHAnsi" w:cstheme="minorHAnsi"/>
          <w:color w:val="000000"/>
          <w:sz w:val="22"/>
          <w:szCs w:val="22"/>
        </w:rPr>
        <w:t xml:space="preserve"> </w:t>
      </w:r>
      <w:r w:rsidR="00D11298">
        <w:rPr>
          <w:rFonts w:asciiTheme="minorHAnsi" w:hAnsiTheme="minorHAnsi" w:cstheme="minorHAnsi"/>
          <w:color w:val="000000"/>
          <w:sz w:val="22"/>
          <w:szCs w:val="22"/>
        </w:rPr>
        <w:t>Chief Information Officer</w:t>
      </w:r>
      <w:r w:rsidR="00962837">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962837" w:rsidRPr="00B21528">
        <w:rPr>
          <w:rFonts w:asciiTheme="minorHAnsi" w:hAnsiTheme="minorHAnsi" w:cstheme="minorHAnsi"/>
          <w:color w:val="000000"/>
          <w:sz w:val="22"/>
          <w:szCs w:val="22"/>
        </w:rPr>
        <w:t>Director</w:t>
      </w:r>
      <w:r w:rsidR="00962837">
        <w:rPr>
          <w:rFonts w:asciiTheme="minorHAnsi" w:hAnsiTheme="minorHAnsi" w:cstheme="minorHAnsi"/>
          <w:color w:val="000000"/>
          <w:sz w:val="22"/>
          <w:szCs w:val="22"/>
        </w:rPr>
        <w:t xml:space="preserve"> of </w:t>
      </w:r>
      <w:r w:rsidR="00962837" w:rsidRPr="00B21528">
        <w:rPr>
          <w:rFonts w:asciiTheme="minorHAnsi" w:hAnsiTheme="minorHAnsi" w:cstheme="minorHAnsi"/>
          <w:color w:val="000000"/>
          <w:sz w:val="22"/>
          <w:szCs w:val="22"/>
        </w:rPr>
        <w:t xml:space="preserve">Collaboration and Engagement, </w:t>
      </w:r>
      <w:r w:rsidR="00962837">
        <w:rPr>
          <w:rFonts w:asciiTheme="minorHAnsi" w:hAnsiTheme="minorHAnsi" w:cstheme="minorHAnsi"/>
          <w:color w:val="000000"/>
          <w:sz w:val="22"/>
          <w:szCs w:val="22"/>
        </w:rPr>
        <w:t xml:space="preserve">and FOI </w:t>
      </w:r>
      <w:r w:rsidR="00763A56" w:rsidRPr="00B21528">
        <w:rPr>
          <w:rFonts w:asciiTheme="minorHAnsi" w:hAnsiTheme="minorHAnsi" w:cstheme="minorHAnsi"/>
          <w:color w:val="000000"/>
          <w:sz w:val="22"/>
          <w:szCs w:val="22"/>
        </w:rPr>
        <w:t>Information Officers</w:t>
      </w:r>
      <w:r w:rsidR="00962837">
        <w:rPr>
          <w:rFonts w:asciiTheme="minorHAnsi" w:hAnsiTheme="minorHAnsi" w:cstheme="minorHAnsi"/>
          <w:color w:val="000000"/>
          <w:sz w:val="22"/>
          <w:szCs w:val="22"/>
        </w:rPr>
        <w:t xml:space="preserve"> </w:t>
      </w:r>
      <w:r w:rsidR="00763A56" w:rsidRPr="00B21528">
        <w:rPr>
          <w:rFonts w:asciiTheme="minorHAnsi" w:hAnsiTheme="minorHAnsi" w:cstheme="minorHAnsi"/>
          <w:color w:val="000000"/>
          <w:sz w:val="22"/>
          <w:szCs w:val="22"/>
        </w:rPr>
        <w:t>have training on operations and responsibilities under the FOI Act</w:t>
      </w:r>
      <w:r w:rsidR="002320AF">
        <w:rPr>
          <w:rFonts w:asciiTheme="minorHAnsi" w:hAnsiTheme="minorHAnsi" w:cstheme="minorHAnsi"/>
          <w:color w:val="000000"/>
          <w:sz w:val="22"/>
          <w:szCs w:val="22"/>
        </w:rPr>
        <w:t>.</w:t>
      </w:r>
    </w:p>
    <w:p w14:paraId="511B0FD2" w14:textId="76C0782E" w:rsidR="00B21528" w:rsidRPr="0075612A" w:rsidRDefault="00B21528" w:rsidP="00747A2E">
      <w:pPr>
        <w:numPr>
          <w:ilvl w:val="0"/>
          <w:numId w:val="10"/>
        </w:numPr>
        <w:shd w:val="clear" w:color="auto" w:fill="FFFFFF"/>
        <w:spacing w:after="0" w:line="240" w:lineRule="auto"/>
        <w:ind w:left="851" w:right="-46"/>
      </w:pPr>
      <w:r w:rsidRPr="0075612A">
        <w:rPr>
          <w:rFonts w:eastAsia="Times New Roman" w:cstheme="minorHAnsi"/>
          <w:color w:val="000000"/>
          <w:kern w:val="0"/>
          <w:lang w:eastAsia="en-AU"/>
          <w14:ligatures w14:val="none"/>
        </w:rPr>
        <w:t xml:space="preserve">CFC </w:t>
      </w:r>
      <w:r w:rsidR="00962837">
        <w:rPr>
          <w:rFonts w:eastAsia="Times New Roman" w:cstheme="minorHAnsi"/>
          <w:color w:val="000000"/>
          <w:kern w:val="0"/>
          <w:lang w:eastAsia="en-AU"/>
          <w14:ligatures w14:val="none"/>
        </w:rPr>
        <w:t xml:space="preserve">FOI </w:t>
      </w:r>
      <w:r w:rsidRPr="0075612A">
        <w:rPr>
          <w:rFonts w:eastAsia="Times New Roman" w:cstheme="minorHAnsi"/>
          <w:color w:val="000000"/>
          <w:kern w:val="0"/>
          <w:lang w:eastAsia="en-AU"/>
          <w14:ligatures w14:val="none"/>
        </w:rPr>
        <w:t>Information Officers m</w:t>
      </w:r>
      <w:r w:rsidRPr="0077246F">
        <w:rPr>
          <w:rFonts w:eastAsia="Times New Roman" w:cstheme="minorHAnsi"/>
          <w:color w:val="000000"/>
          <w:kern w:val="0"/>
          <w:lang w:eastAsia="en-AU"/>
          <w14:ligatures w14:val="none"/>
        </w:rPr>
        <w:t>ake decisions not to publish, or partially publish, open access information if the information is contrary to the public interest</w:t>
      </w:r>
      <w:r w:rsidRPr="0075612A">
        <w:rPr>
          <w:rFonts w:eastAsia="Times New Roman" w:cstheme="minorHAnsi"/>
          <w:color w:val="000000"/>
          <w:kern w:val="0"/>
          <w:lang w:eastAsia="en-AU"/>
          <w14:ligatures w14:val="none"/>
        </w:rPr>
        <w:t xml:space="preserve"> and ensure regular </w:t>
      </w:r>
      <w:r w:rsidRPr="0075612A">
        <w:rPr>
          <w:rFonts w:eastAsia="Times New Roman" w:cstheme="minorHAnsi"/>
          <w:color w:val="000000"/>
          <w:kern w:val="0"/>
          <w:lang w:eastAsia="en-AU"/>
          <w14:ligatures w14:val="none"/>
        </w:rPr>
        <w:lastRenderedPageBreak/>
        <w:t>disclosure</w:t>
      </w:r>
      <w:r w:rsidRPr="00CB1C6F">
        <w:t xml:space="preserve"> and public interest information is published on the </w:t>
      </w:r>
      <w:r>
        <w:t>CFC</w:t>
      </w:r>
      <w:r w:rsidRPr="00CB1C6F">
        <w:t xml:space="preserve"> </w:t>
      </w:r>
      <w:r>
        <w:t>Open access information scheme (OAIS) website</w:t>
      </w:r>
      <w:r w:rsidR="0075612A">
        <w:t xml:space="preserve">. </w:t>
      </w:r>
      <w:r w:rsidRPr="0075612A">
        <w:t xml:space="preserve">If a single document includes both open access information and contrary to the public interest information, </w:t>
      </w:r>
      <w:r w:rsidR="00962837">
        <w:t xml:space="preserve">FOI </w:t>
      </w:r>
      <w:r w:rsidRPr="0075612A">
        <w:t xml:space="preserve">Information Officers will, as far as practicable, make the open access information publicly available, with the contrary to the public interest information redacted. </w:t>
      </w:r>
      <w:r w:rsidR="00962837">
        <w:t xml:space="preserve">FOI </w:t>
      </w:r>
      <w:r w:rsidRPr="0075612A">
        <w:t xml:space="preserve">Information Officers will publish a description of the information, why the information is contrary to the public interest, and a statement outlining review rights. This will apply to documents not released in full, or only released in part. </w:t>
      </w:r>
    </w:p>
    <w:p w14:paraId="487D86F6" w14:textId="3239FB9A" w:rsidR="00B21528" w:rsidRPr="00B21528" w:rsidRDefault="00B21528" w:rsidP="00B21528">
      <w:pPr>
        <w:numPr>
          <w:ilvl w:val="0"/>
          <w:numId w:val="10"/>
        </w:numPr>
        <w:spacing w:before="100" w:beforeAutospacing="1" w:after="96" w:afterAutospacing="1" w:line="240" w:lineRule="auto"/>
        <w:ind w:left="851"/>
        <w:rPr>
          <w:b/>
          <w:bCs/>
        </w:rPr>
      </w:pPr>
      <w:r>
        <w:t xml:space="preserve">CFC </w:t>
      </w:r>
      <w:r w:rsidR="00962837">
        <w:t xml:space="preserve">FOI </w:t>
      </w:r>
      <w:r>
        <w:t>Information O</w:t>
      </w:r>
      <w:r w:rsidRPr="00CB1C6F">
        <w:t>fficer</w:t>
      </w:r>
      <w:r>
        <w:t>s</w:t>
      </w:r>
      <w:r w:rsidRPr="00CB1C6F">
        <w:t xml:space="preserve"> have continued support from Shared Services ICT. Shared Services ICT provide</w:t>
      </w:r>
      <w:r>
        <w:t>s</w:t>
      </w:r>
      <w:r w:rsidRPr="00CB1C6F">
        <w:t xml:space="preserve"> guid</w:t>
      </w:r>
      <w:r>
        <w:t>ance</w:t>
      </w:r>
      <w:r w:rsidRPr="00CB1C6F">
        <w:t xml:space="preserve"> and administrat</w:t>
      </w:r>
      <w:r>
        <w:t>ive</w:t>
      </w:r>
      <w:r w:rsidRPr="00CB1C6F">
        <w:t xml:space="preserve"> access </w:t>
      </w:r>
      <w:r>
        <w:t xml:space="preserve">to the CFC </w:t>
      </w:r>
      <w:r w:rsidRPr="00CB1C6F">
        <w:t xml:space="preserve">to edit and publish documents on </w:t>
      </w:r>
      <w:r>
        <w:t xml:space="preserve">its OAIS </w:t>
      </w:r>
      <w:r w:rsidRPr="00CB1C6F">
        <w:t>website.</w:t>
      </w:r>
    </w:p>
    <w:p w14:paraId="4FADB442" w14:textId="7AFADCA2" w:rsidR="00763A56" w:rsidRDefault="00763A56" w:rsidP="00B21528">
      <w:pPr>
        <w:pStyle w:val="Header"/>
        <w:numPr>
          <w:ilvl w:val="0"/>
          <w:numId w:val="10"/>
        </w:numPr>
        <w:spacing w:beforeAutospacing="1" w:afterAutospacing="1"/>
        <w:ind w:left="851"/>
      </w:pPr>
      <w:r w:rsidRPr="00CB1C6F">
        <w:t xml:space="preserve">The CFC </w:t>
      </w:r>
      <w:r w:rsidRPr="002320AF">
        <w:rPr>
          <w:i/>
          <w:iCs/>
        </w:rPr>
        <w:t>Key Documents Register</w:t>
      </w:r>
      <w:r w:rsidRPr="00CB1C6F">
        <w:t xml:space="preserve"> (KDR)</w:t>
      </w:r>
      <w:r>
        <w:t>, implemented</w:t>
      </w:r>
      <w:r w:rsidRPr="00CB1C6F">
        <w:t xml:space="preserve"> in 2018</w:t>
      </w:r>
      <w:r>
        <w:t>,</w:t>
      </w:r>
      <w:r w:rsidRPr="00CB1C6F">
        <w:t xml:space="preserve"> includes specific documents required to comply with ACT Government service wide policies and procedures. The CFC KDR includes triggers for document review dates, cycles, rationales, and an option for public interest consideration of documents to be published</w:t>
      </w:r>
      <w:r>
        <w:t>.</w:t>
      </w:r>
      <w:r w:rsidRPr="00CB1C6F">
        <w:t xml:space="preserve"> The </w:t>
      </w:r>
      <w:r>
        <w:t>Director</w:t>
      </w:r>
      <w:r w:rsidR="00962837">
        <w:t xml:space="preserve"> of </w:t>
      </w:r>
      <w:r>
        <w:t xml:space="preserve">Collaboration and Engagement </w:t>
      </w:r>
      <w:r w:rsidRPr="00CB1C6F">
        <w:rPr>
          <w:rFonts w:cs="Calibri"/>
        </w:rPr>
        <w:t xml:space="preserve">is responsible for the CFC KDR with the assistance of the CFC Corporate </w:t>
      </w:r>
      <w:r>
        <w:rPr>
          <w:rFonts w:cs="Calibri"/>
        </w:rPr>
        <w:t xml:space="preserve">and Compliance </w:t>
      </w:r>
      <w:r w:rsidRPr="00CB1C6F">
        <w:rPr>
          <w:rFonts w:cs="Calibri"/>
        </w:rPr>
        <w:t xml:space="preserve">Officer. </w:t>
      </w:r>
    </w:p>
    <w:p w14:paraId="55E924F6" w14:textId="73A20348" w:rsidR="00763A56" w:rsidRDefault="00DB432C" w:rsidP="00B21528">
      <w:pPr>
        <w:pStyle w:val="Header"/>
        <w:numPr>
          <w:ilvl w:val="0"/>
          <w:numId w:val="10"/>
        </w:numPr>
        <w:spacing w:beforeAutospacing="1" w:afterAutospacing="1"/>
        <w:ind w:left="851"/>
      </w:pPr>
      <w:r>
        <w:t xml:space="preserve">As part of its strategic priorities, the CFC Board endorses the </w:t>
      </w:r>
      <w:r w:rsidR="00763A56" w:rsidRPr="00CB1C6F">
        <w:t>CFC’s KDR</w:t>
      </w:r>
      <w:r>
        <w:t xml:space="preserve">. </w:t>
      </w:r>
      <w:r w:rsidR="00763A56" w:rsidRPr="00CB1C6F">
        <w:t>The CFC</w:t>
      </w:r>
      <w:r w:rsidR="00763A56">
        <w:t>’s</w:t>
      </w:r>
      <w:r w:rsidR="00763A56" w:rsidRPr="00CB1C6F">
        <w:t xml:space="preserve"> KDR </w:t>
      </w:r>
      <w:r w:rsidR="00763A56">
        <w:t>is</w:t>
      </w:r>
      <w:r w:rsidR="00763A56" w:rsidRPr="00CB1C6F">
        <w:t xml:space="preserve"> reviewed </w:t>
      </w:r>
      <w:r w:rsidR="00763A56">
        <w:t>at each Board meeting throughout the financial year.</w:t>
      </w:r>
    </w:p>
    <w:p w14:paraId="38891B97" w14:textId="77777777" w:rsidR="00763A56" w:rsidRDefault="00763A56" w:rsidP="00B21528">
      <w:pPr>
        <w:pStyle w:val="Header"/>
        <w:numPr>
          <w:ilvl w:val="0"/>
          <w:numId w:val="10"/>
        </w:numPr>
        <w:spacing w:beforeAutospacing="1" w:afterAutospacing="1"/>
        <w:ind w:left="851"/>
      </w:pPr>
      <w:r w:rsidRPr="00CB1C6F">
        <w:rPr>
          <w:rFonts w:cs="Calibri"/>
        </w:rPr>
        <w:t xml:space="preserve">The </w:t>
      </w:r>
      <w:r w:rsidRPr="00CB1C6F">
        <w:t xml:space="preserve">CFC KDR is </w:t>
      </w:r>
      <w:r>
        <w:t xml:space="preserve">regularly </w:t>
      </w:r>
      <w:r w:rsidRPr="00CB1C6F">
        <w:t xml:space="preserve">reviewed and updated </w:t>
      </w:r>
      <w:r>
        <w:t xml:space="preserve">as </w:t>
      </w:r>
      <w:r w:rsidRPr="00CB1C6F">
        <w:t>required.</w:t>
      </w:r>
    </w:p>
    <w:p w14:paraId="37621C49" w14:textId="57C29511" w:rsidR="00763A56" w:rsidRPr="00DB432C" w:rsidRDefault="003420A6" w:rsidP="00B21528">
      <w:pPr>
        <w:pStyle w:val="Header"/>
        <w:numPr>
          <w:ilvl w:val="0"/>
          <w:numId w:val="10"/>
        </w:numPr>
        <w:ind w:left="851"/>
        <w:rPr>
          <w:rFonts w:cs="Calibri"/>
          <w:b/>
          <w:bCs/>
        </w:rPr>
      </w:pPr>
      <w:r>
        <w:t>W</w:t>
      </w:r>
      <w:r w:rsidR="00763A56" w:rsidRPr="00CB1C6F">
        <w:t xml:space="preserve">hen creating documents </w:t>
      </w:r>
      <w:r>
        <w:t>staff are encouraged to utilise</w:t>
      </w:r>
      <w:r w:rsidR="00763A56" w:rsidRPr="00CB1C6F">
        <w:t xml:space="preserve"> </w:t>
      </w:r>
      <w:r w:rsidR="00763A56">
        <w:t>the CFC’s</w:t>
      </w:r>
      <w:r w:rsidR="00763A56" w:rsidRPr="00CB1C6F">
        <w:t xml:space="preserve"> predefined </w:t>
      </w:r>
      <w:r w:rsidR="005104FA" w:rsidRPr="005104FA">
        <w:rPr>
          <w:i/>
          <w:iCs/>
        </w:rPr>
        <w:t>Document T</w:t>
      </w:r>
      <w:r w:rsidR="00763A56" w:rsidRPr="005104FA">
        <w:rPr>
          <w:i/>
          <w:iCs/>
        </w:rPr>
        <w:t>emplate</w:t>
      </w:r>
      <w:r w:rsidR="005104FA" w:rsidRPr="005104FA">
        <w:rPr>
          <w:i/>
          <w:iCs/>
        </w:rPr>
        <w:t xml:space="preserve"> (</w:t>
      </w:r>
      <w:r w:rsidR="00AE5927">
        <w:rPr>
          <w:i/>
          <w:iCs/>
        </w:rPr>
        <w:t xml:space="preserve">ATTACHMENT </w:t>
      </w:r>
      <w:r w:rsidR="005104FA" w:rsidRPr="005104FA">
        <w:rPr>
          <w:i/>
          <w:iCs/>
        </w:rPr>
        <w:t>A)</w:t>
      </w:r>
      <w:r w:rsidR="00763A56" w:rsidRPr="005104FA">
        <w:rPr>
          <w:i/>
          <w:iCs/>
        </w:rPr>
        <w:t>.</w:t>
      </w:r>
      <w:r w:rsidR="00763A56" w:rsidRPr="00CB1C6F">
        <w:t xml:space="preserve"> The template has built in workflows, including a document properties page detailing amendment history, responsibility, version control, </w:t>
      </w:r>
      <w:r w:rsidR="00763A56">
        <w:t>HPECM/TRIM</w:t>
      </w:r>
      <w:r w:rsidR="00763A56" w:rsidRPr="00CB1C6F">
        <w:t xml:space="preserve"> record number, alignment to the current CFC’s Strategic Plan and an option for consideration of documents to be published on the </w:t>
      </w:r>
      <w:r w:rsidR="00DB432C">
        <w:t>CFC</w:t>
      </w:r>
      <w:r w:rsidR="00763A56" w:rsidRPr="00CB1C6F">
        <w:t xml:space="preserve"> website.</w:t>
      </w:r>
    </w:p>
    <w:p w14:paraId="50E7D4C3" w14:textId="77777777" w:rsidR="006A3CE5" w:rsidRDefault="006A3CE5" w:rsidP="00AE5927">
      <w:pPr>
        <w:pStyle w:val="Header"/>
        <w:rPr>
          <w:b/>
          <w:bCs/>
        </w:rPr>
      </w:pPr>
    </w:p>
    <w:p w14:paraId="45EE3ECD" w14:textId="04EF29B1" w:rsidR="00FF353E" w:rsidRDefault="00310960" w:rsidP="00AE5927">
      <w:pPr>
        <w:spacing w:after="0" w:line="240" w:lineRule="auto"/>
      </w:pPr>
      <w:r w:rsidRPr="00CB1C6F">
        <w:t xml:space="preserve">All CFC </w:t>
      </w:r>
      <w:r w:rsidR="00962837">
        <w:t>s</w:t>
      </w:r>
      <w:r w:rsidR="00962837" w:rsidRPr="00CB1C6F">
        <w:t xml:space="preserve">taff </w:t>
      </w:r>
      <w:r w:rsidRPr="00CB1C6F">
        <w:t xml:space="preserve">are encouraged to consider </w:t>
      </w:r>
      <w:r>
        <w:t>o</w:t>
      </w:r>
      <w:r w:rsidRPr="00CB1C6F">
        <w:t xml:space="preserve">pen </w:t>
      </w:r>
      <w:r>
        <w:t>a</w:t>
      </w:r>
      <w:r w:rsidRPr="00CB1C6F">
        <w:t xml:space="preserve">ccess </w:t>
      </w:r>
      <w:r>
        <w:t>i</w:t>
      </w:r>
      <w:r w:rsidRPr="00CB1C6F">
        <w:t>nformation when creating documents</w:t>
      </w:r>
      <w:r w:rsidR="00AE5927">
        <w:t>. A</w:t>
      </w:r>
      <w:r>
        <w:t xml:space="preserve"> </w:t>
      </w:r>
      <w:bookmarkStart w:id="3" w:name="_Hlk168053775"/>
      <w:r w:rsidR="00B4527D" w:rsidRPr="00C32A4F">
        <w:rPr>
          <w:i/>
          <w:iCs/>
        </w:rPr>
        <w:t xml:space="preserve">CFC Open Access Information - Decision to publish </w:t>
      </w:r>
      <w:bookmarkEnd w:id="3"/>
      <w:r w:rsidR="00B4527D" w:rsidRPr="00AE5927">
        <w:t xml:space="preserve">Flowchart </w:t>
      </w:r>
      <w:r w:rsidR="00AE5927" w:rsidRPr="00AE5927">
        <w:t>is available at</w:t>
      </w:r>
      <w:r w:rsidR="00AE5927">
        <w:rPr>
          <w:i/>
          <w:iCs/>
        </w:rPr>
        <w:t xml:space="preserve"> </w:t>
      </w:r>
      <w:r w:rsidR="008F00CC">
        <w:rPr>
          <w:i/>
          <w:iCs/>
        </w:rPr>
        <w:t>ATTACHMENT B</w:t>
      </w:r>
      <w:r w:rsidR="00AE5927">
        <w:rPr>
          <w:i/>
          <w:iCs/>
        </w:rPr>
        <w:t>.</w:t>
      </w:r>
      <w:r w:rsidRPr="00CB1C6F">
        <w:t xml:space="preserve"> </w:t>
      </w:r>
    </w:p>
    <w:p w14:paraId="1573570B" w14:textId="77777777" w:rsidR="006A3CE5" w:rsidRDefault="006A3CE5" w:rsidP="00AE5927">
      <w:pPr>
        <w:pStyle w:val="Header"/>
        <w:rPr>
          <w:b/>
          <w:bCs/>
        </w:rPr>
      </w:pPr>
      <w:bookmarkStart w:id="4" w:name="_Toc69983620"/>
    </w:p>
    <w:p w14:paraId="6938A73D" w14:textId="68DA3014" w:rsidR="00763A56" w:rsidRPr="00763A56" w:rsidRDefault="00763A56" w:rsidP="00AE5927">
      <w:pPr>
        <w:pStyle w:val="Header"/>
        <w:rPr>
          <w:b/>
          <w:bCs/>
        </w:rPr>
      </w:pPr>
      <w:r w:rsidRPr="00763A56">
        <w:rPr>
          <w:b/>
          <w:bCs/>
        </w:rPr>
        <w:t>Review</w:t>
      </w:r>
      <w:bookmarkEnd w:id="4"/>
    </w:p>
    <w:p w14:paraId="68507D05" w14:textId="77777777" w:rsidR="00AE5927" w:rsidRDefault="00AE5927" w:rsidP="00AE5927">
      <w:pPr>
        <w:spacing w:after="0" w:line="240" w:lineRule="auto"/>
      </w:pPr>
      <w:bookmarkStart w:id="5" w:name="_Toc509476670"/>
      <w:bookmarkStart w:id="6" w:name="_Toc511124639"/>
    </w:p>
    <w:p w14:paraId="3D74AD6C" w14:textId="2E27CAE9" w:rsidR="00763A56" w:rsidRPr="00012053" w:rsidRDefault="00962837" w:rsidP="00AE5927">
      <w:pPr>
        <w:spacing w:after="0" w:line="240" w:lineRule="auto"/>
      </w:pPr>
      <w:r>
        <w:t xml:space="preserve">FOI </w:t>
      </w:r>
      <w:r w:rsidR="00763A56">
        <w:t xml:space="preserve">Information Officers will </w:t>
      </w:r>
      <w:r w:rsidR="00B21528">
        <w:t>m</w:t>
      </w:r>
      <w:r w:rsidR="00B21528" w:rsidRPr="0077246F">
        <w:t>onitor open access information</w:t>
      </w:r>
      <w:r w:rsidR="00B21528">
        <w:t xml:space="preserve"> and </w:t>
      </w:r>
      <w:r w:rsidR="00763A56">
        <w:t>conduct an annual</w:t>
      </w:r>
      <w:r w:rsidR="00763A56" w:rsidRPr="00012053">
        <w:t xml:space="preserve"> review of </w:t>
      </w:r>
      <w:r w:rsidR="00763A56">
        <w:t>all open access information and relevant guidelines, unless</w:t>
      </w:r>
      <w:r w:rsidR="008F00CC">
        <w:t xml:space="preserve"> otherwise indicated</w:t>
      </w:r>
      <w:r w:rsidR="00763A56">
        <w:t>.</w:t>
      </w:r>
      <w:r w:rsidR="00763A56" w:rsidRPr="00012053">
        <w:t xml:space="preserve"> Reviews may result in the replacement or amendment of </w:t>
      </w:r>
      <w:r w:rsidR="00763A56">
        <w:t>CFC’s publicly available information</w:t>
      </w:r>
      <w:r w:rsidR="00763A56" w:rsidRPr="00012053">
        <w:t>.</w:t>
      </w:r>
      <w:bookmarkEnd w:id="5"/>
      <w:bookmarkEnd w:id="6"/>
    </w:p>
    <w:p w14:paraId="7B9FD1BC" w14:textId="77777777" w:rsidR="006A3CE5" w:rsidRDefault="006A3CE5" w:rsidP="00AE5927">
      <w:pPr>
        <w:spacing w:after="0" w:line="240" w:lineRule="auto"/>
        <w:rPr>
          <w:rFonts w:cstheme="minorHAnsi"/>
          <w:color w:val="000000"/>
        </w:rPr>
      </w:pPr>
    </w:p>
    <w:p w14:paraId="1B5E7909" w14:textId="04DF0A6E" w:rsidR="0086184A" w:rsidRPr="00A461A9" w:rsidRDefault="00473762" w:rsidP="00AE5927">
      <w:pPr>
        <w:spacing w:after="0" w:line="240" w:lineRule="auto"/>
        <w:rPr>
          <w:rStyle w:val="charcithyperlinkital"/>
        </w:rPr>
      </w:pPr>
      <w:r w:rsidRPr="00333880">
        <w:rPr>
          <w:rFonts w:cstheme="minorHAnsi"/>
          <w:color w:val="000000"/>
        </w:rPr>
        <w:t>This document has been prepared as a companion to the</w:t>
      </w:r>
      <w:r w:rsidR="00333880">
        <w:rPr>
          <w:rFonts w:cstheme="minorHAnsi"/>
          <w:color w:val="000000"/>
        </w:rPr>
        <w:t xml:space="preserve"> </w:t>
      </w:r>
      <w:bookmarkStart w:id="7" w:name="_Hlk166852954"/>
      <w:r w:rsidR="00A461A9" w:rsidRPr="002320AF">
        <w:rPr>
          <w:i/>
          <w:iCs/>
        </w:rPr>
        <w:fldChar w:fldCharType="begin"/>
      </w:r>
      <w:r w:rsidR="00A461A9" w:rsidRPr="002320AF">
        <w:rPr>
          <w:i/>
          <w:iCs/>
        </w:rPr>
        <w:instrText>HYPERLINK "https://www.legislation.act.gov.au/a/2016-55"</w:instrText>
      </w:r>
      <w:r w:rsidR="00A461A9" w:rsidRPr="002320AF">
        <w:rPr>
          <w:i/>
          <w:iCs/>
        </w:rPr>
      </w:r>
      <w:r w:rsidR="00A461A9" w:rsidRPr="002320AF">
        <w:rPr>
          <w:i/>
          <w:iCs/>
        </w:rPr>
        <w:fldChar w:fldCharType="separate"/>
      </w:r>
      <w:r w:rsidR="00A461A9" w:rsidRPr="002320AF">
        <w:rPr>
          <w:rStyle w:val="Hyperlink"/>
          <w:i/>
          <w:iCs/>
          <w:u w:val="none"/>
        </w:rPr>
        <w:t>Freedom of Information Act 2016</w:t>
      </w:r>
      <w:r w:rsidR="00A461A9" w:rsidRPr="002320AF">
        <w:rPr>
          <w:i/>
          <w:iCs/>
        </w:rPr>
        <w:fldChar w:fldCharType="end"/>
      </w:r>
      <w:bookmarkStart w:id="8" w:name="_Hlk168055819"/>
      <w:bookmarkEnd w:id="7"/>
      <w:r w:rsidR="00A461A9" w:rsidRPr="002320AF">
        <w:rPr>
          <w:i/>
          <w:iCs/>
        </w:rPr>
        <w:t xml:space="preserve">, </w:t>
      </w:r>
      <w:hyperlink r:id="rId10" w:history="1">
        <w:r w:rsidR="00A461A9" w:rsidRPr="002320AF">
          <w:rPr>
            <w:rStyle w:val="Hyperlink"/>
            <w:i/>
            <w:iCs/>
            <w:u w:val="none"/>
          </w:rPr>
          <w:t>FOI Open Access Guideline (act.gov.au)</w:t>
        </w:r>
      </w:hyperlink>
      <w:bookmarkEnd w:id="8"/>
      <w:r w:rsidR="00A461A9" w:rsidRPr="002320AF">
        <w:rPr>
          <w:i/>
          <w:iCs/>
        </w:rPr>
        <w:t xml:space="preserve">, </w:t>
      </w:r>
      <w:hyperlink r:id="rId11" w:history="1">
        <w:r w:rsidR="00A461A9" w:rsidRPr="002320AF">
          <w:rPr>
            <w:rStyle w:val="Hyperlink"/>
            <w:i/>
            <w:iCs/>
            <w:u w:val="none"/>
          </w:rPr>
          <w:t>Access Guideline - Territory Records Office (act.gov.au)</w:t>
        </w:r>
      </w:hyperlink>
      <w:r w:rsidR="00333880" w:rsidRPr="002320AF">
        <w:rPr>
          <w:rStyle w:val="charcithyperlinkital"/>
          <w:rFonts w:cstheme="minorHAnsi"/>
          <w:i/>
          <w:iCs/>
          <w:color w:val="0000FF"/>
        </w:rPr>
        <w:t xml:space="preserve">, </w:t>
      </w:r>
      <w:hyperlink r:id="rId12" w:history="1">
        <w:r w:rsidR="00A461A9" w:rsidRPr="002320AF">
          <w:rPr>
            <w:rStyle w:val="Hyperlink"/>
            <w:i/>
            <w:iCs/>
            <w:u w:val="none"/>
          </w:rPr>
          <w:t>Financial Management Act 1996 | Acts</w:t>
        </w:r>
      </w:hyperlink>
      <w:r w:rsidR="00A461A9" w:rsidRPr="002320AF">
        <w:rPr>
          <w:i/>
          <w:iCs/>
        </w:rPr>
        <w:t xml:space="preserve">, </w:t>
      </w:r>
      <w:hyperlink r:id="rId13" w:history="1">
        <w:r w:rsidR="00D30C78" w:rsidRPr="002320AF">
          <w:rPr>
            <w:rStyle w:val="Hyperlink"/>
            <w:rFonts w:cstheme="minorHAnsi"/>
            <w:i/>
            <w:iCs/>
            <w:u w:val="none"/>
          </w:rPr>
          <w:t>ACT Ombudsman Freedom of Information Guidelines 2019</w:t>
        </w:r>
      </w:hyperlink>
      <w:r w:rsidR="00333880" w:rsidRPr="002320AF">
        <w:rPr>
          <w:rFonts w:cstheme="minorHAnsi"/>
          <w:color w:val="000000"/>
        </w:rPr>
        <w:t xml:space="preserve"> the </w:t>
      </w:r>
      <w:r w:rsidR="00A461A9" w:rsidRPr="002320AF">
        <w:t xml:space="preserve"> </w:t>
      </w:r>
      <w:hyperlink r:id="rId14" w:history="1">
        <w:r w:rsidR="00A461A9" w:rsidRPr="002320AF">
          <w:rPr>
            <w:rStyle w:val="Hyperlink"/>
            <w:i/>
            <w:iCs/>
            <w:u w:val="none"/>
          </w:rPr>
          <w:t>Proactive Release of Data (Open Data) Policy</w:t>
        </w:r>
      </w:hyperlink>
      <w:r w:rsidR="008018C3" w:rsidRPr="002320AF">
        <w:rPr>
          <w:i/>
          <w:iCs/>
        </w:rPr>
        <w:t xml:space="preserve">, </w:t>
      </w:r>
      <w:r w:rsidR="008018C3" w:rsidRPr="002320AF">
        <w:t>and the</w:t>
      </w:r>
      <w:r w:rsidR="008018C3" w:rsidRPr="002320AF">
        <w:rPr>
          <w:i/>
          <w:iCs/>
        </w:rPr>
        <w:t xml:space="preserve"> </w:t>
      </w:r>
      <w:hyperlink r:id="rId15" w:history="1">
        <w:r w:rsidR="008018C3" w:rsidRPr="002320AF">
          <w:rPr>
            <w:rStyle w:val="Hyperlink"/>
            <w:i/>
            <w:iCs/>
            <w:u w:val="none"/>
          </w:rPr>
          <w:t>Web Content Accessibility Guidelines (WCAG) 2.0 (w3.org)</w:t>
        </w:r>
      </w:hyperlink>
      <w:r w:rsidR="00333880" w:rsidRPr="00333880">
        <w:rPr>
          <w:rStyle w:val="charcithyperlinkital"/>
          <w:rFonts w:cstheme="minorHAnsi"/>
          <w:i/>
          <w:iCs/>
          <w:color w:val="0000FF"/>
        </w:rPr>
        <w:t>.</w:t>
      </w:r>
    </w:p>
    <w:p w14:paraId="5C5FD11B" w14:textId="1F023F6B" w:rsidR="00385C09" w:rsidRPr="00763A56" w:rsidRDefault="00385C09" w:rsidP="00AE5927">
      <w:pPr>
        <w:pStyle w:val="Default"/>
        <w:rPr>
          <w:sz w:val="22"/>
          <w:szCs w:val="22"/>
        </w:rPr>
      </w:pPr>
    </w:p>
    <w:p w14:paraId="59FE6FEB" w14:textId="7DB83AA3" w:rsidR="00B8019B" w:rsidRPr="00763A56" w:rsidRDefault="00B8019B" w:rsidP="00AE5927">
      <w:pPr>
        <w:pStyle w:val="Default"/>
        <w:tabs>
          <w:tab w:val="left" w:pos="3564"/>
        </w:tabs>
        <w:rPr>
          <w:sz w:val="22"/>
          <w:szCs w:val="22"/>
        </w:rPr>
      </w:pPr>
      <w:r w:rsidRPr="00763A56">
        <w:rPr>
          <w:sz w:val="22"/>
          <w:szCs w:val="22"/>
        </w:rPr>
        <w:t xml:space="preserve">For further information contact: </w:t>
      </w:r>
    </w:p>
    <w:p w14:paraId="79EDB32C" w14:textId="77777777" w:rsidR="008018C3" w:rsidRPr="00763A56" w:rsidRDefault="008018C3" w:rsidP="00AE5927">
      <w:pPr>
        <w:pStyle w:val="Default"/>
        <w:rPr>
          <w:sz w:val="22"/>
          <w:szCs w:val="22"/>
        </w:rPr>
      </w:pPr>
    </w:p>
    <w:p w14:paraId="3635D0C7" w14:textId="77777777" w:rsidR="0088185B" w:rsidRPr="00763A56" w:rsidRDefault="0088185B" w:rsidP="00AE5927">
      <w:pPr>
        <w:pStyle w:val="Default"/>
        <w:rPr>
          <w:b/>
          <w:bCs/>
          <w:sz w:val="22"/>
          <w:szCs w:val="22"/>
        </w:rPr>
      </w:pPr>
      <w:r w:rsidRPr="00763A56">
        <w:rPr>
          <w:b/>
          <w:bCs/>
          <w:sz w:val="22"/>
          <w:szCs w:val="22"/>
        </w:rPr>
        <w:t>Cultural Facilities Corporation</w:t>
      </w:r>
    </w:p>
    <w:p w14:paraId="2E5F986F" w14:textId="511B315D" w:rsidR="0088185B" w:rsidRPr="00763A56" w:rsidRDefault="0024667B" w:rsidP="00AE5927">
      <w:pPr>
        <w:pStyle w:val="Default"/>
        <w:rPr>
          <w:sz w:val="22"/>
          <w:szCs w:val="22"/>
        </w:rPr>
      </w:pPr>
      <w:r w:rsidRPr="00763A56">
        <w:rPr>
          <w:sz w:val="22"/>
          <w:szCs w:val="22"/>
        </w:rPr>
        <w:t>I</w:t>
      </w:r>
      <w:r w:rsidR="008018C3" w:rsidRPr="00763A56">
        <w:rPr>
          <w:sz w:val="22"/>
          <w:szCs w:val="22"/>
        </w:rPr>
        <w:t>nformation Officer</w:t>
      </w:r>
      <w:r w:rsidR="0088185B" w:rsidRPr="00763A56">
        <w:rPr>
          <w:sz w:val="22"/>
          <w:szCs w:val="22"/>
        </w:rPr>
        <w:t>s</w:t>
      </w:r>
    </w:p>
    <w:p w14:paraId="357640E2" w14:textId="02D26CC2" w:rsidR="0088185B" w:rsidRPr="00763A56" w:rsidRDefault="0088185B" w:rsidP="00AE5927">
      <w:pPr>
        <w:pStyle w:val="Default"/>
        <w:rPr>
          <w:sz w:val="22"/>
          <w:szCs w:val="22"/>
        </w:rPr>
      </w:pPr>
      <w:r w:rsidRPr="00763A56">
        <w:rPr>
          <w:sz w:val="22"/>
          <w:szCs w:val="22"/>
        </w:rPr>
        <w:t>GPO Box 782</w:t>
      </w:r>
    </w:p>
    <w:p w14:paraId="4F7DD71C" w14:textId="0BA1F8A2" w:rsidR="0088185B" w:rsidRPr="00763A56" w:rsidRDefault="0088185B" w:rsidP="00AE5927">
      <w:pPr>
        <w:pStyle w:val="Default"/>
        <w:rPr>
          <w:sz w:val="22"/>
          <w:szCs w:val="22"/>
        </w:rPr>
      </w:pPr>
      <w:r w:rsidRPr="00763A56">
        <w:rPr>
          <w:sz w:val="22"/>
          <w:szCs w:val="22"/>
        </w:rPr>
        <w:t>Canberra City ACT 2601</w:t>
      </w:r>
    </w:p>
    <w:p w14:paraId="33B40902" w14:textId="54EBE0EE" w:rsidR="0088185B" w:rsidRPr="00763A56" w:rsidRDefault="0088185B" w:rsidP="00AE5927">
      <w:pPr>
        <w:pStyle w:val="Default"/>
        <w:rPr>
          <w:sz w:val="22"/>
          <w:szCs w:val="22"/>
        </w:rPr>
      </w:pPr>
      <w:r w:rsidRPr="00763A56">
        <w:rPr>
          <w:sz w:val="22"/>
          <w:szCs w:val="22"/>
        </w:rPr>
        <w:t>Telephone: 02 6207 3962</w:t>
      </w:r>
    </w:p>
    <w:p w14:paraId="202061F7" w14:textId="6FA1C1D8" w:rsidR="0088185B" w:rsidRDefault="0088185B" w:rsidP="00AE5927">
      <w:pPr>
        <w:pStyle w:val="BodyText"/>
        <w:rPr>
          <w:color w:val="003C4B"/>
          <w:spacing w:val="-2"/>
          <w:u w:val="single" w:color="003C4B"/>
        </w:rPr>
      </w:pPr>
      <w:r w:rsidRPr="00763A56">
        <w:t xml:space="preserve">Email: </w:t>
      </w:r>
      <w:hyperlink r:id="rId16">
        <w:r w:rsidRPr="00763A56">
          <w:rPr>
            <w:color w:val="003C4B"/>
            <w:spacing w:val="-2"/>
            <w:u w:val="single" w:color="003C4B"/>
          </w:rPr>
          <w:t>cfccorporatefinance@act.gov.au</w:t>
        </w:r>
      </w:hyperlink>
    </w:p>
    <w:p w14:paraId="387C280B" w14:textId="77777777" w:rsidR="005104FA" w:rsidRDefault="005104FA" w:rsidP="00B4527D">
      <w:pPr>
        <w:pStyle w:val="BodyText"/>
        <w:spacing w:line="276" w:lineRule="auto"/>
        <w:rPr>
          <w:color w:val="003C4B"/>
          <w:spacing w:val="-2"/>
          <w:u w:val="single" w:color="003C4B"/>
        </w:rPr>
      </w:pPr>
    </w:p>
    <w:p w14:paraId="36328ECC" w14:textId="77777777" w:rsidR="007A71F5" w:rsidRPr="007037EE" w:rsidRDefault="007A71F5" w:rsidP="003420A6">
      <w:pPr>
        <w:pStyle w:val="Default"/>
        <w:rPr>
          <w:b/>
          <w:bCs/>
        </w:rPr>
      </w:pPr>
    </w:p>
    <w:sectPr w:rsidR="007A71F5" w:rsidRPr="007037EE">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89CE8" w14:textId="77777777" w:rsidR="00C261C9" w:rsidRDefault="00C261C9" w:rsidP="00C261C9">
      <w:pPr>
        <w:spacing w:after="0" w:line="240" w:lineRule="auto"/>
      </w:pPr>
      <w:r>
        <w:separator/>
      </w:r>
    </w:p>
  </w:endnote>
  <w:endnote w:type="continuationSeparator" w:id="0">
    <w:p w14:paraId="7373F185" w14:textId="77777777" w:rsidR="00C261C9" w:rsidRDefault="00C261C9" w:rsidP="00C2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630711"/>
      <w:docPartObj>
        <w:docPartGallery w:val="Page Numbers (Bottom of Page)"/>
        <w:docPartUnique/>
      </w:docPartObj>
    </w:sdtPr>
    <w:sdtEndPr>
      <w:rPr>
        <w:noProof/>
      </w:rPr>
    </w:sdtEndPr>
    <w:sdtContent>
      <w:p w14:paraId="2BE670DC" w14:textId="511724B4" w:rsidR="00B4527D" w:rsidRDefault="00B452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F6C09F" w14:textId="77777777" w:rsidR="00C261C9" w:rsidRDefault="00C2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5C2C" w14:textId="77777777" w:rsidR="00C261C9" w:rsidRDefault="00C261C9" w:rsidP="00C261C9">
      <w:pPr>
        <w:spacing w:after="0" w:line="240" w:lineRule="auto"/>
      </w:pPr>
      <w:r>
        <w:separator/>
      </w:r>
    </w:p>
  </w:footnote>
  <w:footnote w:type="continuationSeparator" w:id="0">
    <w:p w14:paraId="0C6AC6CF" w14:textId="77777777" w:rsidR="00C261C9" w:rsidRDefault="00C261C9" w:rsidP="00C2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56AE" w14:textId="6C8CC3B5" w:rsidR="00C261C9" w:rsidRDefault="00C26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B02"/>
    <w:multiLevelType w:val="hybridMultilevel"/>
    <w:tmpl w:val="395E3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D6F8A"/>
    <w:multiLevelType w:val="multilevel"/>
    <w:tmpl w:val="C4E2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F4CA1"/>
    <w:multiLevelType w:val="hybridMultilevel"/>
    <w:tmpl w:val="F37EB7D0"/>
    <w:lvl w:ilvl="0" w:tplc="5C104FBE">
      <w:start w:val="1"/>
      <w:numFmt w:val="decimal"/>
      <w:lvlText w:val="(%1)"/>
      <w:lvlJc w:val="left"/>
      <w:pPr>
        <w:ind w:left="928" w:hanging="360"/>
      </w:pPr>
      <w:rPr>
        <w:rFonts w:hint="default"/>
        <w:b w:val="0"/>
        <w:bCs/>
        <w:i w:val="0"/>
        <w:iCs/>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 w15:restartNumberingAfterBreak="0">
    <w:nsid w:val="08BA7806"/>
    <w:multiLevelType w:val="multilevel"/>
    <w:tmpl w:val="9F9A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E69EB"/>
    <w:multiLevelType w:val="hybridMultilevel"/>
    <w:tmpl w:val="C4544C6A"/>
    <w:lvl w:ilvl="0" w:tplc="0C090003">
      <w:start w:val="1"/>
      <w:numFmt w:val="bullet"/>
      <w:lvlText w:val="o"/>
      <w:lvlJc w:val="left"/>
      <w:pPr>
        <w:ind w:left="1571" w:hanging="360"/>
      </w:pPr>
      <w:rPr>
        <w:rFonts w:ascii="Courier New" w:hAnsi="Courier New" w:cs="Courier New"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 w15:restartNumberingAfterBreak="0">
    <w:nsid w:val="13CE782B"/>
    <w:multiLevelType w:val="hybridMultilevel"/>
    <w:tmpl w:val="A2981E2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CDD758B"/>
    <w:multiLevelType w:val="hybridMultilevel"/>
    <w:tmpl w:val="7228D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8570A6"/>
    <w:multiLevelType w:val="hybridMultilevel"/>
    <w:tmpl w:val="C3B8E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2A3359"/>
    <w:multiLevelType w:val="hybridMultilevel"/>
    <w:tmpl w:val="0018FDB2"/>
    <w:lvl w:ilvl="0" w:tplc="0C090001">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 w15:restartNumberingAfterBreak="0">
    <w:nsid w:val="40DE39CA"/>
    <w:multiLevelType w:val="multilevel"/>
    <w:tmpl w:val="547E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843EDD"/>
    <w:multiLevelType w:val="hybridMultilevel"/>
    <w:tmpl w:val="EF9014EE"/>
    <w:lvl w:ilvl="0" w:tplc="248A44A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541034DD"/>
    <w:multiLevelType w:val="multilevel"/>
    <w:tmpl w:val="87AE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A06DB2"/>
    <w:multiLevelType w:val="hybridMultilevel"/>
    <w:tmpl w:val="27426D0C"/>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62C56B41"/>
    <w:multiLevelType w:val="multilevel"/>
    <w:tmpl w:val="AFDA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735258"/>
    <w:multiLevelType w:val="hybridMultilevel"/>
    <w:tmpl w:val="9342E1B6"/>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712849C0"/>
    <w:multiLevelType w:val="multilevel"/>
    <w:tmpl w:val="0280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B52B0C"/>
    <w:multiLevelType w:val="hybridMultilevel"/>
    <w:tmpl w:val="4E28C9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0239129">
    <w:abstractNumId w:val="6"/>
  </w:num>
  <w:num w:numId="2" w16cid:durableId="905410357">
    <w:abstractNumId w:val="2"/>
  </w:num>
  <w:num w:numId="3" w16cid:durableId="667905396">
    <w:abstractNumId w:val="12"/>
  </w:num>
  <w:num w:numId="4" w16cid:durableId="458958166">
    <w:abstractNumId w:val="8"/>
  </w:num>
  <w:num w:numId="5" w16cid:durableId="905526761">
    <w:abstractNumId w:val="4"/>
  </w:num>
  <w:num w:numId="6" w16cid:durableId="308094581">
    <w:abstractNumId w:val="5"/>
  </w:num>
  <w:num w:numId="7" w16cid:durableId="1830558196">
    <w:abstractNumId w:val="14"/>
  </w:num>
  <w:num w:numId="8" w16cid:durableId="1585144251">
    <w:abstractNumId w:val="10"/>
  </w:num>
  <w:num w:numId="9" w16cid:durableId="1074820415">
    <w:abstractNumId w:val="7"/>
  </w:num>
  <w:num w:numId="10" w16cid:durableId="1749498728">
    <w:abstractNumId w:val="0"/>
  </w:num>
  <w:num w:numId="11" w16cid:durableId="780537267">
    <w:abstractNumId w:val="16"/>
  </w:num>
  <w:num w:numId="12" w16cid:durableId="149448725">
    <w:abstractNumId w:val="1"/>
  </w:num>
  <w:num w:numId="13" w16cid:durableId="1672753239">
    <w:abstractNumId w:val="3"/>
  </w:num>
  <w:num w:numId="14" w16cid:durableId="201988142">
    <w:abstractNumId w:val="11"/>
  </w:num>
  <w:num w:numId="15" w16cid:durableId="1913848017">
    <w:abstractNumId w:val="13"/>
  </w:num>
  <w:num w:numId="16" w16cid:durableId="486167395">
    <w:abstractNumId w:val="15"/>
  </w:num>
  <w:num w:numId="17" w16cid:durableId="2721326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65"/>
    <w:rsid w:val="00020555"/>
    <w:rsid w:val="00115114"/>
    <w:rsid w:val="001357FD"/>
    <w:rsid w:val="001C3E80"/>
    <w:rsid w:val="002320AF"/>
    <w:rsid w:val="002322C2"/>
    <w:rsid w:val="0024667B"/>
    <w:rsid w:val="002C100C"/>
    <w:rsid w:val="002C4E8F"/>
    <w:rsid w:val="00310960"/>
    <w:rsid w:val="00333880"/>
    <w:rsid w:val="003420A6"/>
    <w:rsid w:val="00344F4A"/>
    <w:rsid w:val="00382C33"/>
    <w:rsid w:val="00385C09"/>
    <w:rsid w:val="003B0147"/>
    <w:rsid w:val="0041538F"/>
    <w:rsid w:val="00420F99"/>
    <w:rsid w:val="00473762"/>
    <w:rsid w:val="004B06B7"/>
    <w:rsid w:val="004E078D"/>
    <w:rsid w:val="005042CF"/>
    <w:rsid w:val="005104FA"/>
    <w:rsid w:val="005319F9"/>
    <w:rsid w:val="00561860"/>
    <w:rsid w:val="005A46F2"/>
    <w:rsid w:val="005A6665"/>
    <w:rsid w:val="00666FE1"/>
    <w:rsid w:val="00683722"/>
    <w:rsid w:val="006A3CE5"/>
    <w:rsid w:val="006B5B90"/>
    <w:rsid w:val="007037EE"/>
    <w:rsid w:val="0075612A"/>
    <w:rsid w:val="00763A56"/>
    <w:rsid w:val="0077246F"/>
    <w:rsid w:val="007A71F5"/>
    <w:rsid w:val="008018C3"/>
    <w:rsid w:val="00806278"/>
    <w:rsid w:val="0081564F"/>
    <w:rsid w:val="0086184A"/>
    <w:rsid w:val="00872F23"/>
    <w:rsid w:val="0088185B"/>
    <w:rsid w:val="008F00CC"/>
    <w:rsid w:val="00914E93"/>
    <w:rsid w:val="009459BF"/>
    <w:rsid w:val="00962837"/>
    <w:rsid w:val="00984720"/>
    <w:rsid w:val="009A5AAD"/>
    <w:rsid w:val="009A7222"/>
    <w:rsid w:val="009B04D7"/>
    <w:rsid w:val="009F5E89"/>
    <w:rsid w:val="00A461A9"/>
    <w:rsid w:val="00A73247"/>
    <w:rsid w:val="00AE5927"/>
    <w:rsid w:val="00AF5651"/>
    <w:rsid w:val="00B21528"/>
    <w:rsid w:val="00B4527D"/>
    <w:rsid w:val="00B8019B"/>
    <w:rsid w:val="00B9390C"/>
    <w:rsid w:val="00B95E75"/>
    <w:rsid w:val="00C261C9"/>
    <w:rsid w:val="00C32726"/>
    <w:rsid w:val="00D11298"/>
    <w:rsid w:val="00D200B7"/>
    <w:rsid w:val="00D30C78"/>
    <w:rsid w:val="00DB432C"/>
    <w:rsid w:val="00DD52CA"/>
    <w:rsid w:val="00DF653F"/>
    <w:rsid w:val="00F5265F"/>
    <w:rsid w:val="00FF35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333680"/>
  <w15:chartTrackingRefBased/>
  <w15:docId w15:val="{E2098960-7309-4BF4-9645-987D5361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66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14:ligatures w14:val="none"/>
    </w:rPr>
  </w:style>
  <w:style w:type="paragraph" w:styleId="Heading2">
    <w:name w:val="heading 2"/>
    <w:basedOn w:val="Normal"/>
    <w:next w:val="Normal"/>
    <w:link w:val="Heading2Char"/>
    <w:uiPriority w:val="9"/>
    <w:semiHidden/>
    <w:unhideWhenUsed/>
    <w:qFormat/>
    <w:rsid w:val="005A6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665"/>
    <w:rPr>
      <w:rFonts w:ascii="Times New Roman" w:eastAsia="Times New Roman" w:hAnsi="Times New Roman" w:cs="Times New Roman"/>
      <w:b/>
      <w:bCs/>
      <w:kern w:val="36"/>
      <w:sz w:val="48"/>
      <w:szCs w:val="48"/>
      <w:lang w:eastAsia="en-AU"/>
      <w14:ligatures w14:val="none"/>
    </w:rPr>
  </w:style>
  <w:style w:type="paragraph" w:styleId="NormalWeb">
    <w:name w:val="Normal (Web)"/>
    <w:basedOn w:val="Normal"/>
    <w:uiPriority w:val="99"/>
    <w:semiHidden/>
    <w:unhideWhenUsed/>
    <w:rsid w:val="005A666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5A6665"/>
    <w:rPr>
      <w:i/>
      <w:iCs/>
    </w:rPr>
  </w:style>
  <w:style w:type="character" w:styleId="Hyperlink">
    <w:name w:val="Hyperlink"/>
    <w:basedOn w:val="DefaultParagraphFont"/>
    <w:uiPriority w:val="99"/>
    <w:unhideWhenUsed/>
    <w:rsid w:val="005A6665"/>
    <w:rPr>
      <w:color w:val="0000FF"/>
      <w:u w:val="single"/>
    </w:rPr>
  </w:style>
  <w:style w:type="character" w:customStyle="1" w:styleId="Heading2Char">
    <w:name w:val="Heading 2 Char"/>
    <w:basedOn w:val="DefaultParagraphFont"/>
    <w:link w:val="Heading2"/>
    <w:uiPriority w:val="9"/>
    <w:semiHidden/>
    <w:rsid w:val="005A6665"/>
    <w:rPr>
      <w:rFonts w:asciiTheme="majorHAnsi" w:eastAsiaTheme="majorEastAsia" w:hAnsiTheme="majorHAnsi" w:cstheme="majorBidi"/>
      <w:color w:val="2F5496" w:themeColor="accent1" w:themeShade="BF"/>
      <w:sz w:val="26"/>
      <w:szCs w:val="26"/>
    </w:rPr>
  </w:style>
  <w:style w:type="paragraph" w:customStyle="1" w:styleId="Default">
    <w:name w:val="Default"/>
    <w:rsid w:val="0081564F"/>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2C4E8F"/>
    <w:rPr>
      <w:color w:val="605E5C"/>
      <w:shd w:val="clear" w:color="auto" w:fill="E1DFDD"/>
    </w:rPr>
  </w:style>
  <w:style w:type="paragraph" w:customStyle="1" w:styleId="ah5sec">
    <w:name w:val="ah5sec"/>
    <w:basedOn w:val="Normal"/>
    <w:rsid w:val="005042C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ritals">
    <w:name w:val="charitals"/>
    <w:basedOn w:val="DefaultParagraphFont"/>
    <w:rsid w:val="005042CF"/>
  </w:style>
  <w:style w:type="paragraph" w:customStyle="1" w:styleId="amain">
    <w:name w:val="amain"/>
    <w:basedOn w:val="Normal"/>
    <w:rsid w:val="005042C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adef">
    <w:name w:val="adef"/>
    <w:basedOn w:val="Normal"/>
    <w:rsid w:val="005042C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rbolditals">
    <w:name w:val="charbolditals"/>
    <w:basedOn w:val="DefaultParagraphFont"/>
    <w:rsid w:val="005042CF"/>
  </w:style>
  <w:style w:type="paragraph" w:customStyle="1" w:styleId="adefpara">
    <w:name w:val="adefpara"/>
    <w:basedOn w:val="Normal"/>
    <w:rsid w:val="005042C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apara">
    <w:name w:val="apara"/>
    <w:basedOn w:val="Normal"/>
    <w:rsid w:val="005042C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rcithyperlinkital">
    <w:name w:val="charcithyperlinkital"/>
    <w:basedOn w:val="DefaultParagraphFont"/>
    <w:rsid w:val="005042CF"/>
  </w:style>
  <w:style w:type="paragraph" w:customStyle="1" w:styleId="anotepar">
    <w:name w:val="anotepar"/>
    <w:basedOn w:val="Normal"/>
    <w:rsid w:val="005042C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adefsubpara">
    <w:name w:val="adefsubpara"/>
    <w:basedOn w:val="Normal"/>
    <w:rsid w:val="005042C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asubsubpara">
    <w:name w:val="asubsubpara"/>
    <w:basedOn w:val="Normal"/>
    <w:rsid w:val="005042C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FollowedHyperlink">
    <w:name w:val="FollowedHyperlink"/>
    <w:basedOn w:val="DefaultParagraphFont"/>
    <w:uiPriority w:val="99"/>
    <w:semiHidden/>
    <w:unhideWhenUsed/>
    <w:rsid w:val="00115114"/>
    <w:rPr>
      <w:color w:val="954F72" w:themeColor="followedHyperlink"/>
      <w:u w:val="single"/>
    </w:rPr>
  </w:style>
  <w:style w:type="paragraph" w:styleId="Header">
    <w:name w:val="header"/>
    <w:basedOn w:val="Normal"/>
    <w:link w:val="HeaderChar"/>
    <w:uiPriority w:val="99"/>
    <w:unhideWhenUsed/>
    <w:rsid w:val="00C2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C9"/>
  </w:style>
  <w:style w:type="paragraph" w:styleId="Footer">
    <w:name w:val="footer"/>
    <w:basedOn w:val="Normal"/>
    <w:link w:val="FooterChar"/>
    <w:uiPriority w:val="99"/>
    <w:unhideWhenUsed/>
    <w:rsid w:val="00C2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C9"/>
  </w:style>
  <w:style w:type="paragraph" w:styleId="BodyText">
    <w:name w:val="Body Text"/>
    <w:basedOn w:val="Normal"/>
    <w:link w:val="BodyTextChar"/>
    <w:uiPriority w:val="1"/>
    <w:qFormat/>
    <w:rsid w:val="0088185B"/>
    <w:pPr>
      <w:widowControl w:val="0"/>
      <w:autoSpaceDE w:val="0"/>
      <w:autoSpaceDN w:val="0"/>
      <w:spacing w:after="0" w:line="240" w:lineRule="auto"/>
    </w:pPr>
    <w:rPr>
      <w:rFonts w:ascii="Calibri" w:eastAsia="Calibri" w:hAnsi="Calibri" w:cs="Calibri"/>
      <w:kern w:val="0"/>
      <w:lang w:val="en-US"/>
    </w:rPr>
  </w:style>
  <w:style w:type="character" w:customStyle="1" w:styleId="BodyTextChar">
    <w:name w:val="Body Text Char"/>
    <w:basedOn w:val="DefaultParagraphFont"/>
    <w:link w:val="BodyText"/>
    <w:uiPriority w:val="1"/>
    <w:rsid w:val="0088185B"/>
    <w:rPr>
      <w:rFonts w:ascii="Calibri" w:eastAsia="Calibri" w:hAnsi="Calibri" w:cs="Calibri"/>
      <w:kern w:val="0"/>
      <w:lang w:val="en-US"/>
    </w:rPr>
  </w:style>
  <w:style w:type="table" w:styleId="TableGrid">
    <w:name w:val="Table Grid"/>
    <w:basedOn w:val="TableNormal"/>
    <w:uiPriority w:val="59"/>
    <w:rsid w:val="005104FA"/>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ONormal">
    <w:name w:val="TRO Normal"/>
    <w:basedOn w:val="Normal"/>
    <w:link w:val="TRONormalChar"/>
    <w:uiPriority w:val="99"/>
    <w:rsid w:val="005104FA"/>
    <w:pPr>
      <w:autoSpaceDE w:val="0"/>
      <w:autoSpaceDN w:val="0"/>
      <w:adjustRightInd w:val="0"/>
      <w:spacing w:after="0" w:line="240" w:lineRule="auto"/>
    </w:pPr>
    <w:rPr>
      <w:rFonts w:eastAsia="Times New Roman" w:cs="Times New Roman"/>
      <w:kern w:val="0"/>
      <w:sz w:val="24"/>
      <w:szCs w:val="24"/>
      <w:lang w:eastAsia="en-AU"/>
      <w14:ligatures w14:val="none"/>
    </w:rPr>
  </w:style>
  <w:style w:type="character" w:customStyle="1" w:styleId="TRONormalChar">
    <w:name w:val="TRO Normal Char"/>
    <w:link w:val="TRONormal"/>
    <w:uiPriority w:val="99"/>
    <w:locked/>
    <w:rsid w:val="005104FA"/>
    <w:rPr>
      <w:rFonts w:eastAsia="Times New Roman" w:cs="Times New Roman"/>
      <w:kern w:val="0"/>
      <w:sz w:val="24"/>
      <w:szCs w:val="24"/>
      <w:lang w:eastAsia="en-AU"/>
      <w14:ligatures w14:val="none"/>
    </w:rPr>
  </w:style>
  <w:style w:type="paragraph" w:styleId="Revision">
    <w:name w:val="Revision"/>
    <w:hidden/>
    <w:uiPriority w:val="99"/>
    <w:semiHidden/>
    <w:rsid w:val="00B95E75"/>
    <w:pPr>
      <w:spacing w:after="0" w:line="240" w:lineRule="auto"/>
    </w:pPr>
  </w:style>
  <w:style w:type="character" w:styleId="CommentReference">
    <w:name w:val="annotation reference"/>
    <w:basedOn w:val="DefaultParagraphFont"/>
    <w:uiPriority w:val="99"/>
    <w:semiHidden/>
    <w:unhideWhenUsed/>
    <w:rsid w:val="00B95E75"/>
    <w:rPr>
      <w:sz w:val="16"/>
      <w:szCs w:val="16"/>
    </w:rPr>
  </w:style>
  <w:style w:type="paragraph" w:styleId="CommentText">
    <w:name w:val="annotation text"/>
    <w:basedOn w:val="Normal"/>
    <w:link w:val="CommentTextChar"/>
    <w:uiPriority w:val="99"/>
    <w:unhideWhenUsed/>
    <w:rsid w:val="00B95E75"/>
    <w:pPr>
      <w:spacing w:line="240" w:lineRule="auto"/>
    </w:pPr>
    <w:rPr>
      <w:sz w:val="20"/>
      <w:szCs w:val="20"/>
    </w:rPr>
  </w:style>
  <w:style w:type="character" w:customStyle="1" w:styleId="CommentTextChar">
    <w:name w:val="Comment Text Char"/>
    <w:basedOn w:val="DefaultParagraphFont"/>
    <w:link w:val="CommentText"/>
    <w:uiPriority w:val="99"/>
    <w:rsid w:val="00B95E75"/>
    <w:rPr>
      <w:sz w:val="20"/>
      <w:szCs w:val="20"/>
    </w:rPr>
  </w:style>
  <w:style w:type="paragraph" w:styleId="CommentSubject">
    <w:name w:val="annotation subject"/>
    <w:basedOn w:val="CommentText"/>
    <w:next w:val="CommentText"/>
    <w:link w:val="CommentSubjectChar"/>
    <w:uiPriority w:val="99"/>
    <w:semiHidden/>
    <w:unhideWhenUsed/>
    <w:rsid w:val="00B95E75"/>
    <w:rPr>
      <w:b/>
      <w:bCs/>
    </w:rPr>
  </w:style>
  <w:style w:type="character" w:customStyle="1" w:styleId="CommentSubjectChar">
    <w:name w:val="Comment Subject Char"/>
    <w:basedOn w:val="CommentTextChar"/>
    <w:link w:val="CommentSubject"/>
    <w:uiPriority w:val="99"/>
    <w:semiHidden/>
    <w:rsid w:val="00B95E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3842">
      <w:bodyDiv w:val="1"/>
      <w:marLeft w:val="0"/>
      <w:marRight w:val="0"/>
      <w:marTop w:val="0"/>
      <w:marBottom w:val="0"/>
      <w:divBdr>
        <w:top w:val="none" w:sz="0" w:space="0" w:color="auto"/>
        <w:left w:val="none" w:sz="0" w:space="0" w:color="auto"/>
        <w:bottom w:val="none" w:sz="0" w:space="0" w:color="auto"/>
        <w:right w:val="none" w:sz="0" w:space="0" w:color="auto"/>
      </w:divBdr>
      <w:divsChild>
        <w:div w:id="733238365">
          <w:marLeft w:val="0"/>
          <w:marRight w:val="0"/>
          <w:marTop w:val="0"/>
          <w:marBottom w:val="0"/>
          <w:divBdr>
            <w:top w:val="none" w:sz="0" w:space="0" w:color="auto"/>
            <w:left w:val="none" w:sz="0" w:space="0" w:color="auto"/>
            <w:bottom w:val="none" w:sz="0" w:space="0" w:color="auto"/>
            <w:right w:val="none" w:sz="0" w:space="0" w:color="auto"/>
          </w:divBdr>
        </w:div>
        <w:div w:id="476996585">
          <w:marLeft w:val="0"/>
          <w:marRight w:val="0"/>
          <w:marTop w:val="0"/>
          <w:marBottom w:val="0"/>
          <w:divBdr>
            <w:top w:val="none" w:sz="0" w:space="0" w:color="auto"/>
            <w:left w:val="none" w:sz="0" w:space="0" w:color="auto"/>
            <w:bottom w:val="none" w:sz="0" w:space="0" w:color="auto"/>
            <w:right w:val="none" w:sz="0" w:space="0" w:color="auto"/>
          </w:divBdr>
        </w:div>
      </w:divsChild>
    </w:div>
    <w:div w:id="494344884">
      <w:bodyDiv w:val="1"/>
      <w:marLeft w:val="0"/>
      <w:marRight w:val="0"/>
      <w:marTop w:val="0"/>
      <w:marBottom w:val="0"/>
      <w:divBdr>
        <w:top w:val="none" w:sz="0" w:space="0" w:color="auto"/>
        <w:left w:val="none" w:sz="0" w:space="0" w:color="auto"/>
        <w:bottom w:val="none" w:sz="0" w:space="0" w:color="auto"/>
        <w:right w:val="none" w:sz="0" w:space="0" w:color="auto"/>
      </w:divBdr>
    </w:div>
    <w:div w:id="684792211">
      <w:bodyDiv w:val="1"/>
      <w:marLeft w:val="0"/>
      <w:marRight w:val="0"/>
      <w:marTop w:val="0"/>
      <w:marBottom w:val="0"/>
      <w:divBdr>
        <w:top w:val="none" w:sz="0" w:space="0" w:color="auto"/>
        <w:left w:val="none" w:sz="0" w:space="0" w:color="auto"/>
        <w:bottom w:val="none" w:sz="0" w:space="0" w:color="auto"/>
        <w:right w:val="none" w:sz="0" w:space="0" w:color="auto"/>
      </w:divBdr>
    </w:div>
    <w:div w:id="770584815">
      <w:bodyDiv w:val="1"/>
      <w:marLeft w:val="0"/>
      <w:marRight w:val="0"/>
      <w:marTop w:val="0"/>
      <w:marBottom w:val="0"/>
      <w:divBdr>
        <w:top w:val="none" w:sz="0" w:space="0" w:color="auto"/>
        <w:left w:val="none" w:sz="0" w:space="0" w:color="auto"/>
        <w:bottom w:val="none" w:sz="0" w:space="0" w:color="auto"/>
        <w:right w:val="none" w:sz="0" w:space="0" w:color="auto"/>
      </w:divBdr>
    </w:div>
    <w:div w:id="864249721">
      <w:bodyDiv w:val="1"/>
      <w:marLeft w:val="0"/>
      <w:marRight w:val="0"/>
      <w:marTop w:val="0"/>
      <w:marBottom w:val="0"/>
      <w:divBdr>
        <w:top w:val="none" w:sz="0" w:space="0" w:color="auto"/>
        <w:left w:val="none" w:sz="0" w:space="0" w:color="auto"/>
        <w:bottom w:val="none" w:sz="0" w:space="0" w:color="auto"/>
        <w:right w:val="none" w:sz="0" w:space="0" w:color="auto"/>
      </w:divBdr>
    </w:div>
    <w:div w:id="1027833454">
      <w:bodyDiv w:val="1"/>
      <w:marLeft w:val="0"/>
      <w:marRight w:val="0"/>
      <w:marTop w:val="0"/>
      <w:marBottom w:val="0"/>
      <w:divBdr>
        <w:top w:val="none" w:sz="0" w:space="0" w:color="auto"/>
        <w:left w:val="none" w:sz="0" w:space="0" w:color="auto"/>
        <w:bottom w:val="none" w:sz="0" w:space="0" w:color="auto"/>
        <w:right w:val="none" w:sz="0" w:space="0" w:color="auto"/>
      </w:divBdr>
    </w:div>
    <w:div w:id="1279679922">
      <w:bodyDiv w:val="1"/>
      <w:marLeft w:val="0"/>
      <w:marRight w:val="0"/>
      <w:marTop w:val="0"/>
      <w:marBottom w:val="0"/>
      <w:divBdr>
        <w:top w:val="none" w:sz="0" w:space="0" w:color="auto"/>
        <w:left w:val="none" w:sz="0" w:space="0" w:color="auto"/>
        <w:bottom w:val="none" w:sz="0" w:space="0" w:color="auto"/>
        <w:right w:val="none" w:sz="0" w:space="0" w:color="auto"/>
      </w:divBdr>
      <w:divsChild>
        <w:div w:id="869143018">
          <w:marLeft w:val="0"/>
          <w:marRight w:val="0"/>
          <w:marTop w:val="0"/>
          <w:marBottom w:val="0"/>
          <w:divBdr>
            <w:top w:val="none" w:sz="0" w:space="0" w:color="auto"/>
            <w:left w:val="none" w:sz="0" w:space="0" w:color="auto"/>
            <w:bottom w:val="none" w:sz="0" w:space="0" w:color="auto"/>
            <w:right w:val="none" w:sz="0" w:space="0" w:color="auto"/>
          </w:divBdr>
        </w:div>
      </w:divsChild>
    </w:div>
    <w:div w:id="18022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act.gov.au/a/1996-22" TargetMode="External"/><Relationship Id="rId13" Type="http://schemas.openxmlformats.org/officeDocument/2006/relationships/hyperlink" Target="https://www.ombudsman.act.gov.au/__data/assets/pdf_file/0026/296036/1.-Ombudsman-Guidelines-Open-Access-Information-March-2020.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FC%20Open%20Access%20Compliance%20Strategy%202024.docx" TargetMode="External"/><Relationship Id="rId12" Type="http://schemas.openxmlformats.org/officeDocument/2006/relationships/hyperlink" Target="https://www.legislation.act.gov.au/a/1996-2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fccorporatefinance@act.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rritoryrecords.act.gov.au/standards/Access-Guideline" TargetMode="External"/><Relationship Id="rId5" Type="http://schemas.openxmlformats.org/officeDocument/2006/relationships/footnotes" Target="footnotes.xml"/><Relationship Id="rId15" Type="http://schemas.openxmlformats.org/officeDocument/2006/relationships/hyperlink" Target="https://www.w3.org/TR/WCAG20/" TargetMode="External"/><Relationship Id="rId10" Type="http://schemas.openxmlformats.org/officeDocument/2006/relationships/hyperlink" Target="http://www.cmd.act.gov.au/__data/assets/pdf_file/0006/1224897/FOI-Open-Access-Guideline.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act.gov.au/a/2016-55" TargetMode="External"/><Relationship Id="rId14" Type="http://schemas.openxmlformats.org/officeDocument/2006/relationships/hyperlink" Target="http://www.cmd.act.gov.au/__data/assets/pdf_file/0011/859430/2016-Proactive-Release-of-Data-Open-Data-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Sarah</dc:creator>
  <cp:keywords/>
  <dc:description/>
  <cp:lastModifiedBy>Marshall, Ben</cp:lastModifiedBy>
  <cp:revision>6</cp:revision>
  <cp:lastPrinted>2024-05-21T00:14:00Z</cp:lastPrinted>
  <dcterms:created xsi:type="dcterms:W3CDTF">2024-06-03T22:34:00Z</dcterms:created>
  <dcterms:modified xsi:type="dcterms:W3CDTF">2025-01-05T23:31:00Z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2024-05-08T04:27:58Z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77d86d06-8b76-49e5-b5bf-6baf93b38d5a</vt:lpwstr>
  </property>
  <property fmtid="{D5CDD505-2E9C-101B-9397-08002B2CF9AE}" pid="8" name="MSIP_Label_69af8531-eb46-4968-8cb3-105d2f5ea87e_ContentBits">
    <vt:lpwstr>0</vt:lpwstr>
  </property>
</Properties>
</file>