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218CC" w14:textId="093C990F" w:rsidR="00AA7A7E" w:rsidRPr="00AA7A7E" w:rsidRDefault="00665322" w:rsidP="00AA7A7E">
      <w:pPr>
        <w:rPr>
          <w:rFonts w:cstheme="minorHAnsi"/>
          <w:sz w:val="24"/>
          <w:szCs w:val="24"/>
        </w:rPr>
      </w:pPr>
      <w:r w:rsidRPr="00AA7A7E">
        <w:rPr>
          <w:rFonts w:cstheme="minorHAnsi"/>
          <w:noProof/>
          <w:sz w:val="24"/>
          <w:szCs w:val="24"/>
        </w:rPr>
        <w:drawing>
          <wp:anchor distT="0" distB="0" distL="114300" distR="114300" simplePos="0" relativeHeight="251658240" behindDoc="0" locked="0" layoutInCell="1" allowOverlap="1" wp14:anchorId="505FB9DE" wp14:editId="68315AFD">
            <wp:simplePos x="0" y="0"/>
            <wp:positionH relativeFrom="margin">
              <wp:align>right</wp:align>
            </wp:positionH>
            <wp:positionV relativeFrom="paragraph">
              <wp:posOffset>232410</wp:posOffset>
            </wp:positionV>
            <wp:extent cx="1251585" cy="1255395"/>
            <wp:effectExtent l="0" t="0" r="571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CLogo_stacked_colour_PMS-uncoat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1585" cy="1255395"/>
                    </a:xfrm>
                    <a:prstGeom prst="rect">
                      <a:avLst/>
                    </a:prstGeom>
                  </pic:spPr>
                </pic:pic>
              </a:graphicData>
            </a:graphic>
            <wp14:sizeRelH relativeFrom="page">
              <wp14:pctWidth>0</wp14:pctWidth>
            </wp14:sizeRelH>
            <wp14:sizeRelV relativeFrom="page">
              <wp14:pctHeight>0</wp14:pctHeight>
            </wp14:sizeRelV>
          </wp:anchor>
        </w:drawing>
      </w:r>
    </w:p>
    <w:p w14:paraId="0891AE80" w14:textId="69144132" w:rsidR="00AA7A7E" w:rsidRPr="00AA7A7E" w:rsidRDefault="00AA7A7E" w:rsidP="00AA7A7E">
      <w:pPr>
        <w:rPr>
          <w:rFonts w:cstheme="minorHAnsi"/>
          <w:b/>
          <w:bCs/>
          <w:sz w:val="32"/>
          <w:szCs w:val="32"/>
        </w:rPr>
      </w:pPr>
      <w:r w:rsidRPr="00AA7A7E">
        <w:rPr>
          <w:rFonts w:cstheme="minorHAnsi"/>
          <w:b/>
          <w:bCs/>
          <w:sz w:val="28"/>
          <w:szCs w:val="28"/>
        </w:rPr>
        <w:t>CULTURAL FACILITIES CORPORATION</w:t>
      </w:r>
      <w:r w:rsidRPr="00AA7A7E">
        <w:rPr>
          <w:rFonts w:cstheme="minorHAnsi"/>
          <w:b/>
          <w:bCs/>
          <w:sz w:val="28"/>
          <w:szCs w:val="28"/>
        </w:rPr>
        <w:br/>
      </w:r>
      <w:r w:rsidRPr="00AA7A7E">
        <w:rPr>
          <w:rFonts w:cstheme="minorHAnsi"/>
          <w:b/>
          <w:bCs/>
          <w:sz w:val="32"/>
          <w:szCs w:val="32"/>
        </w:rPr>
        <w:t>Complaints Handling Policy</w:t>
      </w:r>
    </w:p>
    <w:p w14:paraId="57E012F4" w14:textId="4BA0E9EE" w:rsidR="00AA7A7E" w:rsidRPr="00AA7A7E" w:rsidRDefault="00AA7A7E" w:rsidP="00AA7A7E">
      <w:pPr>
        <w:rPr>
          <w:rFonts w:cstheme="minorHAnsi"/>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6204"/>
      </w:tblGrid>
      <w:tr w:rsidR="00AA7A7E" w:rsidRPr="00AA7A7E" w14:paraId="189E0912" w14:textId="77777777" w:rsidTr="00C12204">
        <w:tc>
          <w:tcPr>
            <w:tcW w:w="2822" w:type="dxa"/>
          </w:tcPr>
          <w:p w14:paraId="59E40CF4" w14:textId="77777777" w:rsidR="00AA7A7E" w:rsidRDefault="00AA7A7E" w:rsidP="00C12204">
            <w:pPr>
              <w:rPr>
                <w:rFonts w:asciiTheme="minorHAnsi" w:hAnsiTheme="minorHAnsi" w:cstheme="minorHAnsi"/>
                <w:sz w:val="24"/>
                <w:szCs w:val="24"/>
              </w:rPr>
            </w:pPr>
            <w:r w:rsidRPr="00AA7A7E">
              <w:rPr>
                <w:rFonts w:asciiTheme="minorHAnsi" w:hAnsiTheme="minorHAnsi" w:cstheme="minorHAnsi"/>
                <w:sz w:val="24"/>
                <w:szCs w:val="24"/>
              </w:rPr>
              <w:t>Authorised by:</w:t>
            </w:r>
          </w:p>
          <w:p w14:paraId="3ABA6030" w14:textId="77777777" w:rsidR="00AA7A7E" w:rsidRDefault="00AA7A7E" w:rsidP="00C12204">
            <w:pPr>
              <w:rPr>
                <w:rFonts w:asciiTheme="minorHAnsi" w:hAnsiTheme="minorHAnsi" w:cstheme="minorHAnsi"/>
                <w:sz w:val="24"/>
                <w:szCs w:val="24"/>
              </w:rPr>
            </w:pPr>
          </w:p>
          <w:p w14:paraId="38151A14" w14:textId="1CD1E13B" w:rsidR="00AA7A7E" w:rsidRPr="00AA7A7E" w:rsidRDefault="00AA7A7E" w:rsidP="00C12204">
            <w:pPr>
              <w:rPr>
                <w:rFonts w:asciiTheme="minorHAnsi" w:hAnsiTheme="minorHAnsi" w:cstheme="minorHAnsi"/>
                <w:sz w:val="24"/>
                <w:szCs w:val="24"/>
              </w:rPr>
            </w:pPr>
          </w:p>
        </w:tc>
        <w:tc>
          <w:tcPr>
            <w:tcW w:w="6204" w:type="dxa"/>
          </w:tcPr>
          <w:p w14:paraId="1C963CB9" w14:textId="581EB930" w:rsidR="00AA7A7E" w:rsidRDefault="00AA7A7E" w:rsidP="00C12204">
            <w:pPr>
              <w:rPr>
                <w:rFonts w:asciiTheme="minorHAnsi" w:hAnsiTheme="minorHAnsi" w:cstheme="minorHAnsi"/>
                <w:sz w:val="24"/>
                <w:szCs w:val="24"/>
              </w:rPr>
            </w:pPr>
            <w:r w:rsidRPr="00AA7A7E">
              <w:rPr>
                <w:rFonts w:asciiTheme="minorHAnsi" w:hAnsiTheme="minorHAnsi" w:cstheme="minorHAnsi"/>
                <w:sz w:val="24"/>
                <w:szCs w:val="24"/>
              </w:rPr>
              <w:t xml:space="preserve"> </w:t>
            </w:r>
          </w:p>
          <w:p w14:paraId="2DB34E4A" w14:textId="77777777" w:rsidR="00A33570" w:rsidRPr="00AA7A7E" w:rsidRDefault="00A33570" w:rsidP="00C12204">
            <w:pPr>
              <w:rPr>
                <w:rFonts w:asciiTheme="minorHAnsi" w:hAnsiTheme="minorHAnsi" w:cstheme="minorHAnsi"/>
                <w:sz w:val="24"/>
                <w:szCs w:val="24"/>
              </w:rPr>
            </w:pPr>
          </w:p>
          <w:p w14:paraId="51209B57" w14:textId="77777777" w:rsidR="00AA7A7E" w:rsidRDefault="00AA7A7E" w:rsidP="00C12204">
            <w:pPr>
              <w:rPr>
                <w:rFonts w:asciiTheme="minorHAnsi" w:hAnsiTheme="minorHAnsi" w:cstheme="minorHAnsi"/>
                <w:sz w:val="24"/>
                <w:szCs w:val="24"/>
              </w:rPr>
            </w:pPr>
            <w:r w:rsidRPr="00AA7A7E">
              <w:rPr>
                <w:rFonts w:asciiTheme="minorHAnsi" w:hAnsiTheme="minorHAnsi" w:cstheme="minorHAnsi"/>
                <w:sz w:val="24"/>
                <w:szCs w:val="24"/>
              </w:rPr>
              <w:t>Gordon Ramsay</w:t>
            </w:r>
            <w:r w:rsidRPr="00AA7A7E">
              <w:rPr>
                <w:rFonts w:asciiTheme="minorHAnsi" w:hAnsiTheme="minorHAnsi" w:cstheme="minorHAnsi"/>
                <w:sz w:val="24"/>
                <w:szCs w:val="24"/>
              </w:rPr>
              <w:br/>
              <w:t>CEO</w:t>
            </w:r>
            <w:r w:rsidRPr="00AA7A7E">
              <w:rPr>
                <w:rFonts w:asciiTheme="minorHAnsi" w:hAnsiTheme="minorHAnsi" w:cstheme="minorHAnsi"/>
                <w:sz w:val="24"/>
                <w:szCs w:val="24"/>
              </w:rPr>
              <w:br/>
              <w:t>Cultural Facilities Corporation</w:t>
            </w:r>
          </w:p>
          <w:p w14:paraId="4AA43550" w14:textId="6484AE53" w:rsidR="00A33570" w:rsidRPr="00AA7A7E" w:rsidRDefault="00A33570" w:rsidP="00C12204">
            <w:pPr>
              <w:rPr>
                <w:rFonts w:asciiTheme="minorHAnsi" w:hAnsiTheme="minorHAnsi" w:cstheme="minorHAnsi"/>
                <w:sz w:val="24"/>
                <w:szCs w:val="24"/>
              </w:rPr>
            </w:pPr>
          </w:p>
        </w:tc>
      </w:tr>
      <w:tr w:rsidR="00AA7A7E" w:rsidRPr="00AA7A7E" w14:paraId="04792C09" w14:textId="77777777" w:rsidTr="00C12204">
        <w:tc>
          <w:tcPr>
            <w:tcW w:w="2822" w:type="dxa"/>
          </w:tcPr>
          <w:p w14:paraId="01CEA433" w14:textId="77777777" w:rsidR="00AA7A7E" w:rsidRPr="00AA7A7E" w:rsidRDefault="00AA7A7E" w:rsidP="00C12204">
            <w:pPr>
              <w:rPr>
                <w:rFonts w:asciiTheme="minorHAnsi" w:hAnsiTheme="minorHAnsi" w:cstheme="minorHAnsi"/>
                <w:sz w:val="24"/>
                <w:szCs w:val="24"/>
              </w:rPr>
            </w:pPr>
            <w:r w:rsidRPr="00AA7A7E">
              <w:rPr>
                <w:rFonts w:asciiTheme="minorHAnsi" w:hAnsiTheme="minorHAnsi" w:cstheme="minorHAnsi"/>
                <w:sz w:val="24"/>
                <w:szCs w:val="24"/>
              </w:rPr>
              <w:t xml:space="preserve"> Date:</w:t>
            </w:r>
          </w:p>
          <w:p w14:paraId="4E4F22F7" w14:textId="7028379F" w:rsidR="00AA7A7E" w:rsidRPr="00AA7A7E" w:rsidRDefault="00AA7A7E" w:rsidP="00C12204">
            <w:pPr>
              <w:rPr>
                <w:rFonts w:asciiTheme="minorHAnsi" w:hAnsiTheme="minorHAnsi" w:cstheme="minorHAnsi"/>
                <w:sz w:val="24"/>
                <w:szCs w:val="24"/>
              </w:rPr>
            </w:pPr>
          </w:p>
        </w:tc>
        <w:tc>
          <w:tcPr>
            <w:tcW w:w="6204" w:type="dxa"/>
          </w:tcPr>
          <w:p w14:paraId="005CD58D" w14:textId="6AF435BD" w:rsidR="00AA7A7E" w:rsidRPr="00AA7A7E" w:rsidRDefault="00A33570" w:rsidP="00A33570">
            <w:pPr>
              <w:rPr>
                <w:rFonts w:asciiTheme="minorHAnsi" w:hAnsiTheme="minorHAnsi" w:cstheme="minorHAnsi"/>
                <w:sz w:val="24"/>
                <w:szCs w:val="24"/>
              </w:rPr>
            </w:pPr>
            <w:r>
              <w:rPr>
                <w:rFonts w:asciiTheme="minorHAnsi" w:hAnsiTheme="minorHAnsi" w:cstheme="minorHAnsi"/>
                <w:sz w:val="24"/>
                <w:szCs w:val="24"/>
              </w:rPr>
              <w:t xml:space="preserve">27 </w:t>
            </w:r>
            <w:r w:rsidR="005A122C">
              <w:rPr>
                <w:rFonts w:asciiTheme="minorHAnsi" w:hAnsiTheme="minorHAnsi" w:cstheme="minorHAnsi"/>
                <w:sz w:val="24"/>
                <w:szCs w:val="24"/>
              </w:rPr>
              <w:t>April</w:t>
            </w:r>
            <w:r w:rsidR="00AA7A7E" w:rsidRPr="00AA7A7E">
              <w:rPr>
                <w:rFonts w:asciiTheme="minorHAnsi" w:hAnsiTheme="minorHAnsi" w:cstheme="minorHAnsi"/>
                <w:sz w:val="24"/>
                <w:szCs w:val="24"/>
              </w:rPr>
              <w:t xml:space="preserve"> 2022  </w:t>
            </w:r>
          </w:p>
        </w:tc>
      </w:tr>
      <w:tr w:rsidR="00AA7A7E" w:rsidRPr="00AA7A7E" w14:paraId="1DBB132B" w14:textId="77777777" w:rsidTr="00C12204">
        <w:tc>
          <w:tcPr>
            <w:tcW w:w="2822" w:type="dxa"/>
          </w:tcPr>
          <w:p w14:paraId="379B1662" w14:textId="77777777" w:rsidR="00AA7A7E" w:rsidRPr="00AA7A7E" w:rsidRDefault="00AA7A7E" w:rsidP="00C12204">
            <w:pPr>
              <w:rPr>
                <w:rFonts w:asciiTheme="minorHAnsi" w:hAnsiTheme="minorHAnsi" w:cstheme="minorHAnsi"/>
                <w:sz w:val="24"/>
                <w:szCs w:val="24"/>
              </w:rPr>
            </w:pPr>
            <w:r w:rsidRPr="00AA7A7E">
              <w:rPr>
                <w:rFonts w:asciiTheme="minorHAnsi" w:hAnsiTheme="minorHAnsi" w:cstheme="minorHAnsi"/>
                <w:sz w:val="24"/>
                <w:szCs w:val="24"/>
              </w:rPr>
              <w:t>Date for review:</w:t>
            </w:r>
          </w:p>
        </w:tc>
        <w:tc>
          <w:tcPr>
            <w:tcW w:w="6204" w:type="dxa"/>
          </w:tcPr>
          <w:p w14:paraId="53B68FE4" w14:textId="3D40517C" w:rsidR="00AA7A7E" w:rsidRPr="00AA7A7E" w:rsidRDefault="00A33570" w:rsidP="00C12204">
            <w:pPr>
              <w:rPr>
                <w:rFonts w:asciiTheme="minorHAnsi" w:hAnsiTheme="minorHAnsi" w:cstheme="minorHAnsi"/>
                <w:sz w:val="24"/>
                <w:szCs w:val="24"/>
              </w:rPr>
            </w:pPr>
            <w:r>
              <w:rPr>
                <w:rFonts w:asciiTheme="minorHAnsi" w:hAnsiTheme="minorHAnsi" w:cstheme="minorHAnsi"/>
                <w:sz w:val="24"/>
                <w:szCs w:val="24"/>
              </w:rPr>
              <w:t xml:space="preserve">April </w:t>
            </w:r>
            <w:r w:rsidR="00AA7A7E" w:rsidRPr="00AA7A7E">
              <w:rPr>
                <w:rFonts w:asciiTheme="minorHAnsi" w:hAnsiTheme="minorHAnsi" w:cstheme="minorHAnsi"/>
                <w:sz w:val="24"/>
                <w:szCs w:val="24"/>
              </w:rPr>
              <w:t>2025</w:t>
            </w:r>
          </w:p>
        </w:tc>
      </w:tr>
      <w:tr w:rsidR="00AA7A7E" w:rsidRPr="00AA7A7E" w14:paraId="5CA9A45B" w14:textId="77777777" w:rsidTr="00C12204">
        <w:tc>
          <w:tcPr>
            <w:tcW w:w="2822" w:type="dxa"/>
          </w:tcPr>
          <w:p w14:paraId="2368378F" w14:textId="77777777" w:rsidR="00A33570" w:rsidRDefault="00A33570" w:rsidP="00C12204">
            <w:pPr>
              <w:rPr>
                <w:rFonts w:asciiTheme="minorHAnsi" w:hAnsiTheme="minorHAnsi" w:cstheme="minorHAnsi"/>
                <w:sz w:val="24"/>
                <w:szCs w:val="24"/>
              </w:rPr>
            </w:pPr>
          </w:p>
          <w:p w14:paraId="2CDB1D55" w14:textId="6782E3C0" w:rsidR="00AA7A7E" w:rsidRPr="00AA7A7E" w:rsidRDefault="00AA7A7E" w:rsidP="00C12204">
            <w:pPr>
              <w:rPr>
                <w:rFonts w:asciiTheme="minorHAnsi" w:hAnsiTheme="minorHAnsi" w:cstheme="minorHAnsi"/>
                <w:sz w:val="24"/>
                <w:szCs w:val="24"/>
              </w:rPr>
            </w:pPr>
            <w:r w:rsidRPr="00AA7A7E">
              <w:rPr>
                <w:rFonts w:asciiTheme="minorHAnsi" w:hAnsiTheme="minorHAnsi" w:cstheme="minorHAnsi"/>
                <w:sz w:val="24"/>
                <w:szCs w:val="24"/>
              </w:rPr>
              <w:t>Version:</w:t>
            </w:r>
          </w:p>
        </w:tc>
        <w:tc>
          <w:tcPr>
            <w:tcW w:w="6204" w:type="dxa"/>
          </w:tcPr>
          <w:p w14:paraId="69F685B8" w14:textId="77777777" w:rsidR="00A33570" w:rsidRDefault="00A33570" w:rsidP="00C12204">
            <w:pPr>
              <w:rPr>
                <w:rFonts w:asciiTheme="minorHAnsi" w:hAnsiTheme="minorHAnsi" w:cstheme="minorHAnsi"/>
                <w:sz w:val="24"/>
                <w:szCs w:val="24"/>
              </w:rPr>
            </w:pPr>
          </w:p>
          <w:p w14:paraId="6D010F02" w14:textId="35BE8B66" w:rsidR="00AA7A7E" w:rsidRPr="00AA7A7E" w:rsidRDefault="00AA7A7E" w:rsidP="00C12204">
            <w:pPr>
              <w:rPr>
                <w:rFonts w:asciiTheme="minorHAnsi" w:hAnsiTheme="minorHAnsi" w:cstheme="minorHAnsi"/>
                <w:sz w:val="24"/>
                <w:szCs w:val="24"/>
              </w:rPr>
            </w:pPr>
            <w:r w:rsidRPr="00AA7A7E">
              <w:rPr>
                <w:rFonts w:asciiTheme="minorHAnsi" w:hAnsiTheme="minorHAnsi" w:cstheme="minorHAnsi"/>
                <w:sz w:val="24"/>
                <w:szCs w:val="24"/>
              </w:rPr>
              <w:t>Version 3.0</w:t>
            </w:r>
          </w:p>
        </w:tc>
      </w:tr>
      <w:tr w:rsidR="00AA7A7E" w:rsidRPr="00AA7A7E" w14:paraId="4D2D0AAC" w14:textId="77777777" w:rsidTr="00C12204">
        <w:tc>
          <w:tcPr>
            <w:tcW w:w="2822" w:type="dxa"/>
          </w:tcPr>
          <w:p w14:paraId="73130ECC" w14:textId="77777777" w:rsidR="00AA7A7E" w:rsidRPr="00AA7A7E" w:rsidRDefault="00AA7A7E" w:rsidP="00C12204">
            <w:pPr>
              <w:rPr>
                <w:rFonts w:asciiTheme="minorHAnsi" w:hAnsiTheme="minorHAnsi" w:cstheme="minorHAnsi"/>
                <w:sz w:val="24"/>
                <w:szCs w:val="24"/>
              </w:rPr>
            </w:pPr>
          </w:p>
        </w:tc>
        <w:tc>
          <w:tcPr>
            <w:tcW w:w="6204" w:type="dxa"/>
          </w:tcPr>
          <w:p w14:paraId="3D2B9CD9" w14:textId="77777777" w:rsidR="00AA7A7E" w:rsidRPr="00AA7A7E" w:rsidRDefault="00AA7A7E" w:rsidP="00C12204">
            <w:pPr>
              <w:rPr>
                <w:rFonts w:asciiTheme="minorHAnsi" w:hAnsiTheme="minorHAnsi" w:cstheme="minorHAnsi"/>
                <w:sz w:val="24"/>
                <w:szCs w:val="24"/>
              </w:rPr>
            </w:pPr>
          </w:p>
        </w:tc>
      </w:tr>
      <w:tr w:rsidR="00AA7A7E" w:rsidRPr="00AA7A7E" w14:paraId="0CE53920" w14:textId="77777777" w:rsidTr="00C12204">
        <w:tc>
          <w:tcPr>
            <w:tcW w:w="2822" w:type="dxa"/>
          </w:tcPr>
          <w:p w14:paraId="53FF3A28" w14:textId="77777777" w:rsidR="00AA7A7E" w:rsidRPr="00AA7A7E" w:rsidRDefault="00AA7A7E" w:rsidP="00C12204">
            <w:pPr>
              <w:rPr>
                <w:rFonts w:asciiTheme="minorHAnsi" w:hAnsiTheme="minorHAnsi" w:cstheme="minorHAnsi"/>
                <w:sz w:val="24"/>
                <w:szCs w:val="24"/>
              </w:rPr>
            </w:pPr>
          </w:p>
        </w:tc>
        <w:tc>
          <w:tcPr>
            <w:tcW w:w="6204" w:type="dxa"/>
          </w:tcPr>
          <w:p w14:paraId="6428D0F5" w14:textId="1BC6C8FF" w:rsidR="00AA7A7E" w:rsidRPr="00AA7A7E" w:rsidRDefault="00AA7A7E" w:rsidP="00AA7A7E">
            <w:pPr>
              <w:rPr>
                <w:rFonts w:asciiTheme="minorHAnsi" w:hAnsiTheme="minorHAnsi" w:cstheme="minorHAnsi"/>
                <w:sz w:val="24"/>
                <w:szCs w:val="24"/>
              </w:rPr>
            </w:pPr>
            <w:r w:rsidRPr="00AA7A7E">
              <w:rPr>
                <w:rFonts w:asciiTheme="minorHAnsi" w:hAnsiTheme="minorHAnsi" w:cstheme="minorHAnsi"/>
                <w:sz w:val="24"/>
                <w:szCs w:val="24"/>
              </w:rPr>
              <w:tab/>
            </w:r>
            <w:r w:rsidRPr="00AA7A7E">
              <w:rPr>
                <w:rFonts w:asciiTheme="minorHAnsi" w:hAnsiTheme="minorHAnsi" w:cstheme="minorHAnsi"/>
                <w:sz w:val="24"/>
                <w:szCs w:val="24"/>
              </w:rPr>
              <w:tab/>
            </w:r>
          </w:p>
        </w:tc>
      </w:tr>
    </w:tbl>
    <w:p w14:paraId="5F026AC9" w14:textId="1CA33FA2" w:rsidR="00AA7A7E" w:rsidRPr="00AA7A7E" w:rsidRDefault="00AA7A7E" w:rsidP="006411C7">
      <w:pPr>
        <w:spacing w:before="60" w:after="60" w:line="240" w:lineRule="auto"/>
        <w:rPr>
          <w:rFonts w:cstheme="minorHAnsi"/>
          <w:b/>
          <w:bCs/>
          <w:color w:val="000080"/>
        </w:rPr>
      </w:pPr>
      <w:r w:rsidRPr="00AA7A7E">
        <w:rPr>
          <w:rFonts w:cstheme="minorHAnsi"/>
          <w:b/>
          <w:bCs/>
        </w:rPr>
        <w:t>DOCUMENT PROPERTIES</w:t>
      </w:r>
    </w:p>
    <w:p w14:paraId="7AC789B1" w14:textId="77777777" w:rsidR="00AA7A7E" w:rsidRPr="006411C7" w:rsidRDefault="00AA7A7E" w:rsidP="006411C7">
      <w:pPr>
        <w:spacing w:before="60" w:after="60" w:line="240" w:lineRule="auto"/>
        <w:rPr>
          <w:rFonts w:cstheme="minorHAnsi"/>
          <w:b/>
          <w:bCs/>
          <w:sz w:val="20"/>
          <w:szCs w:val="20"/>
        </w:rPr>
      </w:pPr>
      <w:r w:rsidRPr="006411C7">
        <w:rPr>
          <w:rFonts w:cstheme="minorHAnsi"/>
          <w:b/>
          <w:bCs/>
          <w:sz w:val="20"/>
          <w:szCs w:val="20"/>
        </w:rPr>
        <w:t>Schedule of Amendments</w:t>
      </w:r>
    </w:p>
    <w:tbl>
      <w:tblPr>
        <w:tblStyle w:val="TableGrid"/>
        <w:tblW w:w="9493" w:type="dxa"/>
        <w:tblLook w:val="04A0" w:firstRow="1" w:lastRow="0" w:firstColumn="1" w:lastColumn="0" w:noHBand="0" w:noVBand="1"/>
      </w:tblPr>
      <w:tblGrid>
        <w:gridCol w:w="6232"/>
        <w:gridCol w:w="3261"/>
      </w:tblGrid>
      <w:tr w:rsidR="00AA7A7E" w:rsidRPr="00AA7A7E" w14:paraId="34688A0C" w14:textId="77777777" w:rsidTr="00665322">
        <w:tc>
          <w:tcPr>
            <w:tcW w:w="6232" w:type="dxa"/>
          </w:tcPr>
          <w:p w14:paraId="53FA41FC" w14:textId="7A2BBDDE" w:rsidR="00AA7A7E" w:rsidRPr="00AA7A7E" w:rsidRDefault="00AA7A7E" w:rsidP="006411C7">
            <w:pPr>
              <w:spacing w:before="60" w:after="60"/>
              <w:rPr>
                <w:rFonts w:asciiTheme="minorHAnsi" w:hAnsiTheme="minorHAnsi" w:cstheme="minorHAnsi"/>
              </w:rPr>
            </w:pPr>
            <w:r w:rsidRPr="00AA7A7E">
              <w:rPr>
                <w:rFonts w:asciiTheme="minorHAnsi" w:hAnsiTheme="minorHAnsi" w:cstheme="minorHAnsi"/>
              </w:rPr>
              <w:t>New features (insertions)</w:t>
            </w:r>
            <w:r w:rsidR="006411C7">
              <w:rPr>
                <w:rFonts w:asciiTheme="minorHAnsi" w:hAnsiTheme="minorHAnsi" w:cstheme="minorHAnsi"/>
              </w:rPr>
              <w:t>: main content revised to align with CMTEDD Complaints Handling Policy</w:t>
            </w:r>
          </w:p>
        </w:tc>
        <w:tc>
          <w:tcPr>
            <w:tcW w:w="3261" w:type="dxa"/>
          </w:tcPr>
          <w:p w14:paraId="42C255F6" w14:textId="66D631DB" w:rsidR="00AA7A7E" w:rsidRPr="00AA7A7E" w:rsidRDefault="006411C7" w:rsidP="006411C7">
            <w:pPr>
              <w:spacing w:before="60" w:after="60"/>
              <w:rPr>
                <w:rFonts w:asciiTheme="minorHAnsi" w:hAnsiTheme="minorHAnsi" w:cstheme="minorHAnsi"/>
              </w:rPr>
            </w:pPr>
            <w:r>
              <w:rPr>
                <w:rFonts w:asciiTheme="minorHAnsi" w:hAnsiTheme="minorHAnsi" w:cstheme="minorHAnsi"/>
              </w:rPr>
              <w:t>2</w:t>
            </w:r>
            <w:r>
              <w:rPr>
                <w:rFonts w:asciiTheme="minorHAnsi" w:hAnsiTheme="minorHAnsi" w:cstheme="minorHAnsi"/>
              </w:rPr>
              <w:t>7</w:t>
            </w:r>
            <w:r>
              <w:rPr>
                <w:rFonts w:asciiTheme="minorHAnsi" w:hAnsiTheme="minorHAnsi" w:cstheme="minorHAnsi"/>
              </w:rPr>
              <w:t xml:space="preserve"> April 2022</w:t>
            </w:r>
          </w:p>
        </w:tc>
      </w:tr>
      <w:tr w:rsidR="00AA7A7E" w:rsidRPr="00AA7A7E" w14:paraId="36EC183B" w14:textId="77777777" w:rsidTr="00665322">
        <w:tc>
          <w:tcPr>
            <w:tcW w:w="6232" w:type="dxa"/>
          </w:tcPr>
          <w:p w14:paraId="3356E43A" w14:textId="2BE43497" w:rsidR="00AA7A7E" w:rsidRPr="00AA7A7E" w:rsidRDefault="00AA7A7E" w:rsidP="006411C7">
            <w:pPr>
              <w:spacing w:before="60" w:after="60"/>
              <w:rPr>
                <w:rFonts w:asciiTheme="minorHAnsi" w:hAnsiTheme="minorHAnsi" w:cstheme="minorHAnsi"/>
              </w:rPr>
            </w:pPr>
            <w:r w:rsidRPr="00AA7A7E">
              <w:rPr>
                <w:rFonts w:asciiTheme="minorHAnsi" w:hAnsiTheme="minorHAnsi" w:cstheme="minorHAnsi"/>
              </w:rPr>
              <w:t>Enhancements (changes)</w:t>
            </w:r>
            <w:r w:rsidR="006411C7">
              <w:rPr>
                <w:rFonts w:asciiTheme="minorHAnsi" w:hAnsiTheme="minorHAnsi" w:cstheme="minorHAnsi"/>
              </w:rPr>
              <w:t xml:space="preserve">: significant revisions to simplify document  </w:t>
            </w:r>
          </w:p>
        </w:tc>
        <w:tc>
          <w:tcPr>
            <w:tcW w:w="3261" w:type="dxa"/>
          </w:tcPr>
          <w:p w14:paraId="277E64C1" w14:textId="16A777EB" w:rsidR="00AA7A7E" w:rsidRPr="00AA7A7E" w:rsidRDefault="006411C7" w:rsidP="006411C7">
            <w:pPr>
              <w:spacing w:before="60" w:after="60"/>
              <w:rPr>
                <w:rFonts w:asciiTheme="minorHAnsi" w:hAnsiTheme="minorHAnsi" w:cstheme="minorHAnsi"/>
              </w:rPr>
            </w:pPr>
            <w:r>
              <w:rPr>
                <w:rFonts w:asciiTheme="minorHAnsi" w:hAnsiTheme="minorHAnsi" w:cstheme="minorHAnsi"/>
              </w:rPr>
              <w:t>27 April 2022</w:t>
            </w:r>
          </w:p>
        </w:tc>
      </w:tr>
      <w:tr w:rsidR="00AA7A7E" w:rsidRPr="00AA7A7E" w14:paraId="655128B3" w14:textId="77777777" w:rsidTr="00665322">
        <w:tc>
          <w:tcPr>
            <w:tcW w:w="6232" w:type="dxa"/>
          </w:tcPr>
          <w:p w14:paraId="1A6A5A4A" w14:textId="1220C26B" w:rsidR="00AA7A7E" w:rsidRPr="00AA7A7E" w:rsidRDefault="00AA7A7E" w:rsidP="006411C7">
            <w:pPr>
              <w:spacing w:before="60" w:after="60"/>
              <w:rPr>
                <w:rFonts w:asciiTheme="minorHAnsi" w:hAnsiTheme="minorHAnsi" w:cstheme="minorHAnsi"/>
              </w:rPr>
            </w:pPr>
            <w:r w:rsidRPr="00AA7A7E">
              <w:rPr>
                <w:rFonts w:asciiTheme="minorHAnsi" w:hAnsiTheme="minorHAnsi" w:cstheme="minorHAnsi"/>
              </w:rPr>
              <w:t>New Format</w:t>
            </w:r>
            <w:r w:rsidR="006411C7">
              <w:rPr>
                <w:rFonts w:asciiTheme="minorHAnsi" w:hAnsiTheme="minorHAnsi" w:cstheme="minorHAnsi"/>
              </w:rPr>
              <w:t xml:space="preserve">: simplified </w:t>
            </w:r>
          </w:p>
        </w:tc>
        <w:tc>
          <w:tcPr>
            <w:tcW w:w="3261" w:type="dxa"/>
          </w:tcPr>
          <w:p w14:paraId="7D168DF7" w14:textId="4FBF6F73" w:rsidR="00AA7A7E" w:rsidRPr="00AA7A7E" w:rsidRDefault="006411C7" w:rsidP="006411C7">
            <w:pPr>
              <w:spacing w:before="60" w:after="60"/>
              <w:rPr>
                <w:rFonts w:asciiTheme="minorHAnsi" w:hAnsiTheme="minorHAnsi" w:cstheme="minorHAnsi"/>
              </w:rPr>
            </w:pPr>
            <w:r>
              <w:rPr>
                <w:rFonts w:asciiTheme="minorHAnsi" w:hAnsiTheme="minorHAnsi" w:cstheme="minorHAnsi"/>
              </w:rPr>
              <w:t>27 April 2022</w:t>
            </w:r>
          </w:p>
        </w:tc>
      </w:tr>
      <w:tr w:rsidR="00AA7A7E" w:rsidRPr="00AA7A7E" w14:paraId="2924F76A" w14:textId="77777777" w:rsidTr="00665322">
        <w:tc>
          <w:tcPr>
            <w:tcW w:w="6232" w:type="dxa"/>
          </w:tcPr>
          <w:p w14:paraId="7593517C" w14:textId="648831DB" w:rsidR="00AA7A7E" w:rsidRPr="00AA7A7E" w:rsidRDefault="00AA7A7E" w:rsidP="006411C7">
            <w:pPr>
              <w:spacing w:before="60" w:after="60"/>
              <w:rPr>
                <w:rFonts w:asciiTheme="minorHAnsi" w:hAnsiTheme="minorHAnsi" w:cstheme="minorHAnsi"/>
              </w:rPr>
            </w:pPr>
            <w:r w:rsidRPr="00AA7A7E">
              <w:rPr>
                <w:rFonts w:asciiTheme="minorHAnsi" w:hAnsiTheme="minorHAnsi" w:cstheme="minorHAnsi"/>
              </w:rPr>
              <w:t>Deletions</w:t>
            </w:r>
            <w:r w:rsidR="006411C7">
              <w:rPr>
                <w:rFonts w:asciiTheme="minorHAnsi" w:hAnsiTheme="minorHAnsi" w:cstheme="minorHAnsi"/>
              </w:rPr>
              <w:t xml:space="preserve">: </w:t>
            </w:r>
          </w:p>
        </w:tc>
        <w:tc>
          <w:tcPr>
            <w:tcW w:w="3261" w:type="dxa"/>
          </w:tcPr>
          <w:p w14:paraId="2FAA08EB" w14:textId="2F7CC68E" w:rsidR="00AA7A7E" w:rsidRPr="00AA7A7E" w:rsidRDefault="006411C7" w:rsidP="006411C7">
            <w:pPr>
              <w:spacing w:before="60" w:after="60"/>
              <w:rPr>
                <w:rFonts w:asciiTheme="minorHAnsi" w:hAnsiTheme="minorHAnsi" w:cstheme="minorHAnsi"/>
              </w:rPr>
            </w:pPr>
            <w:r>
              <w:rPr>
                <w:rFonts w:asciiTheme="minorHAnsi" w:hAnsiTheme="minorHAnsi" w:cstheme="minorHAnsi"/>
              </w:rPr>
              <w:t>27 April 2022</w:t>
            </w:r>
          </w:p>
        </w:tc>
      </w:tr>
    </w:tbl>
    <w:p w14:paraId="6AB80E3D" w14:textId="4D269405" w:rsidR="00AA7A7E" w:rsidRPr="006411C7" w:rsidRDefault="00AA7A7E" w:rsidP="006411C7">
      <w:pPr>
        <w:spacing w:before="60" w:after="60" w:line="240" w:lineRule="auto"/>
        <w:rPr>
          <w:rFonts w:cstheme="minorHAnsi"/>
          <w:b/>
          <w:bCs/>
          <w:sz w:val="20"/>
          <w:szCs w:val="20"/>
        </w:rPr>
      </w:pPr>
      <w:r w:rsidRPr="006411C7">
        <w:rPr>
          <w:rFonts w:cstheme="minorHAnsi"/>
          <w:b/>
          <w:bCs/>
          <w:sz w:val="20"/>
          <w:szCs w:val="20"/>
        </w:rPr>
        <w:t>Amendment History</w:t>
      </w:r>
    </w:p>
    <w:tbl>
      <w:tblPr>
        <w:tblStyle w:val="TableGrid"/>
        <w:tblW w:w="9493" w:type="dxa"/>
        <w:tblLook w:val="04A0" w:firstRow="1" w:lastRow="0" w:firstColumn="1" w:lastColumn="0" w:noHBand="0" w:noVBand="1"/>
      </w:tblPr>
      <w:tblGrid>
        <w:gridCol w:w="3256"/>
        <w:gridCol w:w="2409"/>
        <w:gridCol w:w="3828"/>
      </w:tblGrid>
      <w:tr w:rsidR="00AA7A7E" w:rsidRPr="00AA7A7E" w14:paraId="005AE8A3" w14:textId="77777777" w:rsidTr="00665322">
        <w:tc>
          <w:tcPr>
            <w:tcW w:w="3256" w:type="dxa"/>
          </w:tcPr>
          <w:p w14:paraId="32073AD0" w14:textId="77777777" w:rsidR="00AA7A7E" w:rsidRPr="00AA7A7E" w:rsidRDefault="00AA7A7E" w:rsidP="006411C7">
            <w:pPr>
              <w:spacing w:before="60" w:after="60"/>
              <w:rPr>
                <w:rFonts w:asciiTheme="minorHAnsi" w:hAnsiTheme="minorHAnsi" w:cstheme="minorHAnsi"/>
              </w:rPr>
            </w:pPr>
            <w:r w:rsidRPr="00AA7A7E">
              <w:rPr>
                <w:rFonts w:asciiTheme="minorHAnsi" w:hAnsiTheme="minorHAnsi" w:cstheme="minorHAnsi"/>
              </w:rPr>
              <w:t>Version No.</w:t>
            </w:r>
          </w:p>
        </w:tc>
        <w:tc>
          <w:tcPr>
            <w:tcW w:w="2409" w:type="dxa"/>
          </w:tcPr>
          <w:p w14:paraId="5A6812AE" w14:textId="77777777" w:rsidR="00AA7A7E" w:rsidRPr="00AA7A7E" w:rsidRDefault="00AA7A7E" w:rsidP="006411C7">
            <w:pPr>
              <w:spacing w:before="60" w:after="60"/>
              <w:rPr>
                <w:rFonts w:asciiTheme="minorHAnsi" w:hAnsiTheme="minorHAnsi" w:cstheme="minorHAnsi"/>
              </w:rPr>
            </w:pPr>
            <w:r w:rsidRPr="00AA7A7E">
              <w:rPr>
                <w:rFonts w:asciiTheme="minorHAnsi" w:hAnsiTheme="minorHAnsi" w:cstheme="minorHAnsi"/>
              </w:rPr>
              <w:t>Issue Date</w:t>
            </w:r>
          </w:p>
        </w:tc>
        <w:tc>
          <w:tcPr>
            <w:tcW w:w="3828" w:type="dxa"/>
          </w:tcPr>
          <w:p w14:paraId="65A1843C" w14:textId="77777777" w:rsidR="00AA7A7E" w:rsidRPr="00AA7A7E" w:rsidRDefault="00AA7A7E" w:rsidP="006411C7">
            <w:pPr>
              <w:spacing w:before="60" w:after="60"/>
              <w:rPr>
                <w:rFonts w:asciiTheme="minorHAnsi" w:hAnsiTheme="minorHAnsi" w:cstheme="minorHAnsi"/>
              </w:rPr>
            </w:pPr>
            <w:r w:rsidRPr="00AA7A7E">
              <w:rPr>
                <w:rFonts w:asciiTheme="minorHAnsi" w:hAnsiTheme="minorHAnsi" w:cstheme="minorHAnsi"/>
              </w:rPr>
              <w:t>Author</w:t>
            </w:r>
          </w:p>
        </w:tc>
      </w:tr>
      <w:tr w:rsidR="00AA7A7E" w:rsidRPr="00AA7A7E" w14:paraId="07909ED2" w14:textId="77777777" w:rsidTr="00665322">
        <w:tc>
          <w:tcPr>
            <w:tcW w:w="3256" w:type="dxa"/>
          </w:tcPr>
          <w:p w14:paraId="3A9B6BD7" w14:textId="77777777" w:rsidR="00AA7A7E" w:rsidRPr="00AA7A7E" w:rsidRDefault="00AA7A7E" w:rsidP="006411C7">
            <w:pPr>
              <w:spacing w:before="60" w:after="60"/>
              <w:rPr>
                <w:rFonts w:asciiTheme="minorHAnsi" w:hAnsiTheme="minorHAnsi" w:cstheme="minorHAnsi"/>
              </w:rPr>
            </w:pPr>
            <w:r w:rsidRPr="00AA7A7E">
              <w:rPr>
                <w:rFonts w:asciiTheme="minorHAnsi" w:hAnsiTheme="minorHAnsi" w:cstheme="minorHAnsi"/>
              </w:rPr>
              <w:t>Version 1.0</w:t>
            </w:r>
          </w:p>
        </w:tc>
        <w:tc>
          <w:tcPr>
            <w:tcW w:w="2409" w:type="dxa"/>
          </w:tcPr>
          <w:p w14:paraId="7784DA8A" w14:textId="77777777" w:rsidR="00AA7A7E" w:rsidRPr="00AA7A7E" w:rsidRDefault="00AA7A7E" w:rsidP="006411C7">
            <w:pPr>
              <w:spacing w:before="60" w:after="60"/>
              <w:rPr>
                <w:rFonts w:asciiTheme="minorHAnsi" w:hAnsiTheme="minorHAnsi" w:cstheme="minorHAnsi"/>
              </w:rPr>
            </w:pPr>
          </w:p>
        </w:tc>
        <w:tc>
          <w:tcPr>
            <w:tcW w:w="3828" w:type="dxa"/>
          </w:tcPr>
          <w:p w14:paraId="3EC0DAA4" w14:textId="77777777" w:rsidR="00AA7A7E" w:rsidRPr="00AA7A7E" w:rsidRDefault="00AA7A7E" w:rsidP="006411C7">
            <w:pPr>
              <w:spacing w:before="60" w:after="60"/>
              <w:rPr>
                <w:rFonts w:asciiTheme="minorHAnsi" w:hAnsiTheme="minorHAnsi" w:cstheme="minorHAnsi"/>
              </w:rPr>
            </w:pPr>
          </w:p>
        </w:tc>
      </w:tr>
      <w:tr w:rsidR="00AA7A7E" w:rsidRPr="00AA7A7E" w14:paraId="7363C719" w14:textId="77777777" w:rsidTr="00665322">
        <w:tc>
          <w:tcPr>
            <w:tcW w:w="3256" w:type="dxa"/>
          </w:tcPr>
          <w:p w14:paraId="52299E94" w14:textId="77777777" w:rsidR="00AA7A7E" w:rsidRPr="00AA7A7E" w:rsidRDefault="00AA7A7E" w:rsidP="006411C7">
            <w:pPr>
              <w:spacing w:before="60" w:after="60"/>
              <w:rPr>
                <w:rFonts w:asciiTheme="minorHAnsi" w:hAnsiTheme="minorHAnsi" w:cstheme="minorHAnsi"/>
              </w:rPr>
            </w:pPr>
            <w:r w:rsidRPr="00AA7A7E">
              <w:rPr>
                <w:rFonts w:asciiTheme="minorHAnsi" w:hAnsiTheme="minorHAnsi" w:cstheme="minorHAnsi"/>
              </w:rPr>
              <w:t>Version 2.0</w:t>
            </w:r>
          </w:p>
        </w:tc>
        <w:tc>
          <w:tcPr>
            <w:tcW w:w="2409" w:type="dxa"/>
          </w:tcPr>
          <w:p w14:paraId="21B567C3" w14:textId="77777777" w:rsidR="00AA7A7E" w:rsidRPr="00AA7A7E" w:rsidRDefault="00AA7A7E" w:rsidP="006411C7">
            <w:pPr>
              <w:spacing w:before="60" w:after="60"/>
              <w:rPr>
                <w:rFonts w:asciiTheme="minorHAnsi" w:hAnsiTheme="minorHAnsi" w:cstheme="minorHAnsi"/>
              </w:rPr>
            </w:pPr>
            <w:r w:rsidRPr="00AA7A7E">
              <w:rPr>
                <w:rFonts w:asciiTheme="minorHAnsi" w:hAnsiTheme="minorHAnsi" w:cstheme="minorHAnsi"/>
              </w:rPr>
              <w:t xml:space="preserve">April 2018 </w:t>
            </w:r>
          </w:p>
        </w:tc>
        <w:tc>
          <w:tcPr>
            <w:tcW w:w="3828" w:type="dxa"/>
          </w:tcPr>
          <w:p w14:paraId="475A6F11" w14:textId="77777777" w:rsidR="00AA7A7E" w:rsidRPr="00AA7A7E" w:rsidRDefault="00AA7A7E" w:rsidP="006411C7">
            <w:pPr>
              <w:spacing w:before="60" w:after="60"/>
              <w:rPr>
                <w:rFonts w:asciiTheme="minorHAnsi" w:hAnsiTheme="minorHAnsi" w:cstheme="minorHAnsi"/>
              </w:rPr>
            </w:pPr>
            <w:r w:rsidRPr="00AA7A7E">
              <w:rPr>
                <w:rFonts w:asciiTheme="minorHAnsi" w:hAnsiTheme="minorHAnsi" w:cstheme="minorHAnsi"/>
              </w:rPr>
              <w:t>Ian Tidy</w:t>
            </w:r>
          </w:p>
        </w:tc>
      </w:tr>
      <w:tr w:rsidR="00AA7A7E" w:rsidRPr="00AA7A7E" w14:paraId="3159F41E" w14:textId="77777777" w:rsidTr="00665322">
        <w:tc>
          <w:tcPr>
            <w:tcW w:w="3256" w:type="dxa"/>
          </w:tcPr>
          <w:p w14:paraId="55DA07D0" w14:textId="77777777" w:rsidR="00AA7A7E" w:rsidRPr="00AA7A7E" w:rsidRDefault="00AA7A7E" w:rsidP="006411C7">
            <w:pPr>
              <w:spacing w:before="60" w:after="60"/>
              <w:rPr>
                <w:rFonts w:asciiTheme="minorHAnsi" w:hAnsiTheme="minorHAnsi" w:cstheme="minorHAnsi"/>
              </w:rPr>
            </w:pPr>
            <w:r w:rsidRPr="00AA7A7E">
              <w:rPr>
                <w:rFonts w:asciiTheme="minorHAnsi" w:hAnsiTheme="minorHAnsi" w:cstheme="minorHAnsi"/>
              </w:rPr>
              <w:t>Version 3.0</w:t>
            </w:r>
          </w:p>
        </w:tc>
        <w:tc>
          <w:tcPr>
            <w:tcW w:w="2409" w:type="dxa"/>
          </w:tcPr>
          <w:p w14:paraId="286A889C" w14:textId="77777777" w:rsidR="00AA7A7E" w:rsidRPr="00AA7A7E" w:rsidRDefault="00AA7A7E" w:rsidP="006411C7">
            <w:pPr>
              <w:spacing w:before="60" w:after="60"/>
              <w:rPr>
                <w:rFonts w:asciiTheme="minorHAnsi" w:hAnsiTheme="minorHAnsi" w:cstheme="minorHAnsi"/>
              </w:rPr>
            </w:pPr>
            <w:r w:rsidRPr="00AA7A7E">
              <w:rPr>
                <w:rFonts w:asciiTheme="minorHAnsi" w:hAnsiTheme="minorHAnsi" w:cstheme="minorHAnsi"/>
              </w:rPr>
              <w:t>April 2022</w:t>
            </w:r>
          </w:p>
        </w:tc>
        <w:tc>
          <w:tcPr>
            <w:tcW w:w="3828" w:type="dxa"/>
          </w:tcPr>
          <w:p w14:paraId="1A079E8B" w14:textId="48C568E5" w:rsidR="00AA7A7E" w:rsidRPr="00AA7A7E" w:rsidRDefault="005A122C" w:rsidP="006411C7">
            <w:pPr>
              <w:spacing w:before="60" w:after="60"/>
              <w:rPr>
                <w:rFonts w:asciiTheme="minorHAnsi" w:hAnsiTheme="minorHAnsi" w:cstheme="minorHAnsi"/>
              </w:rPr>
            </w:pPr>
            <w:r>
              <w:rPr>
                <w:rFonts w:asciiTheme="minorHAnsi" w:hAnsiTheme="minorHAnsi" w:cstheme="minorHAnsi"/>
              </w:rPr>
              <w:t>Brooke Thomas</w:t>
            </w:r>
          </w:p>
        </w:tc>
      </w:tr>
    </w:tbl>
    <w:p w14:paraId="3676256A" w14:textId="77777777" w:rsidR="00AA7A7E" w:rsidRPr="006411C7" w:rsidRDefault="00AA7A7E" w:rsidP="006411C7">
      <w:pPr>
        <w:spacing w:before="60" w:after="60" w:line="240" w:lineRule="auto"/>
        <w:rPr>
          <w:rFonts w:cstheme="minorHAnsi"/>
          <w:b/>
          <w:bCs/>
          <w:sz w:val="20"/>
          <w:szCs w:val="20"/>
        </w:rPr>
      </w:pPr>
      <w:r w:rsidRPr="006411C7">
        <w:rPr>
          <w:rFonts w:cstheme="minorHAnsi"/>
          <w:b/>
          <w:bCs/>
          <w:sz w:val="20"/>
          <w:szCs w:val="20"/>
        </w:rPr>
        <w:t>Details</w:t>
      </w:r>
    </w:p>
    <w:tbl>
      <w:tblPr>
        <w:tblStyle w:val="TableGrid"/>
        <w:tblW w:w="9493" w:type="dxa"/>
        <w:tblLook w:val="04A0" w:firstRow="1" w:lastRow="0" w:firstColumn="1" w:lastColumn="0" w:noHBand="0" w:noVBand="1"/>
      </w:tblPr>
      <w:tblGrid>
        <w:gridCol w:w="3257"/>
        <w:gridCol w:w="6236"/>
      </w:tblGrid>
      <w:tr w:rsidR="00AA7A7E" w:rsidRPr="00AA7A7E" w14:paraId="415F8EED" w14:textId="77777777" w:rsidTr="00665322">
        <w:trPr>
          <w:trHeight w:val="346"/>
        </w:trPr>
        <w:tc>
          <w:tcPr>
            <w:tcW w:w="3257" w:type="dxa"/>
          </w:tcPr>
          <w:p w14:paraId="6D861A16" w14:textId="77777777" w:rsidR="00AA7A7E" w:rsidRPr="00AA7A7E" w:rsidRDefault="00AA7A7E" w:rsidP="006411C7">
            <w:pPr>
              <w:spacing w:before="60" w:after="60"/>
              <w:rPr>
                <w:rFonts w:asciiTheme="minorHAnsi" w:hAnsiTheme="minorHAnsi" w:cstheme="minorHAnsi"/>
              </w:rPr>
            </w:pPr>
            <w:r w:rsidRPr="00AA7A7E">
              <w:rPr>
                <w:rFonts w:asciiTheme="minorHAnsi" w:hAnsiTheme="minorHAnsi" w:cstheme="minorHAnsi"/>
              </w:rPr>
              <w:t>Area responsible for Policy/Plan/Program/Guideline</w:t>
            </w:r>
          </w:p>
        </w:tc>
        <w:tc>
          <w:tcPr>
            <w:tcW w:w="6236" w:type="dxa"/>
          </w:tcPr>
          <w:p w14:paraId="4CA3C23D" w14:textId="77777777" w:rsidR="00AA7A7E" w:rsidRPr="00AA7A7E" w:rsidRDefault="00AA7A7E" w:rsidP="006411C7">
            <w:pPr>
              <w:spacing w:before="60" w:after="60"/>
              <w:rPr>
                <w:rFonts w:asciiTheme="minorHAnsi" w:hAnsiTheme="minorHAnsi" w:cstheme="minorHAnsi"/>
              </w:rPr>
            </w:pPr>
            <w:r w:rsidRPr="00AA7A7E">
              <w:rPr>
                <w:rFonts w:asciiTheme="minorHAnsi" w:hAnsiTheme="minorHAnsi" w:cstheme="minorHAnsi"/>
              </w:rPr>
              <w:t>CFC Corporate Finance</w:t>
            </w:r>
          </w:p>
        </w:tc>
      </w:tr>
      <w:tr w:rsidR="00AA7A7E" w:rsidRPr="00AA7A7E" w14:paraId="0C0271A6" w14:textId="77777777" w:rsidTr="00665322">
        <w:trPr>
          <w:trHeight w:val="346"/>
        </w:trPr>
        <w:tc>
          <w:tcPr>
            <w:tcW w:w="3257" w:type="dxa"/>
          </w:tcPr>
          <w:p w14:paraId="09FB021A" w14:textId="77777777" w:rsidR="00AA7A7E" w:rsidRPr="00AA7A7E" w:rsidRDefault="00AA7A7E" w:rsidP="006411C7">
            <w:pPr>
              <w:spacing w:before="60" w:after="60"/>
              <w:rPr>
                <w:rFonts w:asciiTheme="minorHAnsi" w:hAnsiTheme="minorHAnsi" w:cstheme="minorHAnsi"/>
              </w:rPr>
            </w:pPr>
            <w:r w:rsidRPr="00AA7A7E">
              <w:rPr>
                <w:rFonts w:asciiTheme="minorHAnsi" w:hAnsiTheme="minorHAnsi" w:cstheme="minorHAnsi"/>
              </w:rPr>
              <w:t>Stakeholders</w:t>
            </w:r>
          </w:p>
        </w:tc>
        <w:tc>
          <w:tcPr>
            <w:tcW w:w="6236" w:type="dxa"/>
          </w:tcPr>
          <w:p w14:paraId="7D8C576A" w14:textId="77777777" w:rsidR="00AA7A7E" w:rsidRPr="00AA7A7E" w:rsidRDefault="00AA7A7E" w:rsidP="006411C7">
            <w:pPr>
              <w:spacing w:before="60" w:after="60"/>
              <w:rPr>
                <w:rFonts w:asciiTheme="minorHAnsi" w:hAnsiTheme="minorHAnsi" w:cstheme="minorHAnsi"/>
              </w:rPr>
            </w:pPr>
            <w:r w:rsidRPr="00AA7A7E">
              <w:rPr>
                <w:rFonts w:asciiTheme="minorHAnsi" w:hAnsiTheme="minorHAnsi" w:cstheme="minorHAnsi"/>
              </w:rPr>
              <w:t>All Cultural Facilities Corporation Staff</w:t>
            </w:r>
          </w:p>
        </w:tc>
      </w:tr>
      <w:tr w:rsidR="00AA7A7E" w:rsidRPr="00AA7A7E" w14:paraId="7300434A" w14:textId="77777777" w:rsidTr="00665322">
        <w:trPr>
          <w:trHeight w:val="346"/>
        </w:trPr>
        <w:tc>
          <w:tcPr>
            <w:tcW w:w="3257" w:type="dxa"/>
          </w:tcPr>
          <w:p w14:paraId="54CEB5C2" w14:textId="77777777" w:rsidR="00AA7A7E" w:rsidRPr="00AA7A7E" w:rsidRDefault="00AA7A7E" w:rsidP="006411C7">
            <w:pPr>
              <w:spacing w:before="60" w:after="60"/>
              <w:rPr>
                <w:rFonts w:asciiTheme="minorHAnsi" w:hAnsiTheme="minorHAnsi" w:cstheme="minorHAnsi"/>
              </w:rPr>
            </w:pPr>
            <w:r w:rsidRPr="00AA7A7E">
              <w:rPr>
                <w:rFonts w:asciiTheme="minorHAnsi" w:hAnsiTheme="minorHAnsi" w:cstheme="minorHAnsi"/>
              </w:rPr>
              <w:t>Document location</w:t>
            </w:r>
          </w:p>
        </w:tc>
        <w:tc>
          <w:tcPr>
            <w:tcW w:w="6236" w:type="dxa"/>
          </w:tcPr>
          <w:p w14:paraId="191FC61F" w14:textId="77777777" w:rsidR="00AA7A7E" w:rsidRPr="00AA7A7E" w:rsidRDefault="00A33570" w:rsidP="006411C7">
            <w:pPr>
              <w:spacing w:before="60" w:after="60"/>
              <w:rPr>
                <w:rFonts w:asciiTheme="minorHAnsi" w:hAnsiTheme="minorHAnsi" w:cstheme="minorHAnsi"/>
              </w:rPr>
            </w:pPr>
            <w:hyperlink r:id="rId8" w:history="1">
              <w:r w:rsidR="00AA7A7E" w:rsidRPr="00AA7A7E">
                <w:rPr>
                  <w:rStyle w:val="Hyperlink"/>
                  <w:rFonts w:asciiTheme="minorHAnsi" w:hAnsiTheme="minorHAnsi" w:cstheme="minorHAnsi"/>
                  <w:u w:val="none"/>
                </w:rPr>
                <w:t>G:\CFC\Staff\Documents\CFC\</w:t>
              </w:r>
              <w:r w:rsidR="00AA7A7E" w:rsidRPr="00AA7A7E">
                <w:rPr>
                  <w:rStyle w:val="Hyperlink"/>
                  <w:rFonts w:asciiTheme="minorHAnsi" w:hAnsiTheme="minorHAnsi" w:cstheme="minorHAnsi"/>
                  <w:u w:val="none"/>
                </w:rPr>
                <w:br/>
                <w:t>CFCComplaintspolicy.pdf</w:t>
              </w:r>
            </w:hyperlink>
          </w:p>
        </w:tc>
      </w:tr>
      <w:tr w:rsidR="00AA7A7E" w:rsidRPr="00AA7A7E" w14:paraId="5E82DC0A" w14:textId="77777777" w:rsidTr="00665322">
        <w:trPr>
          <w:trHeight w:val="346"/>
        </w:trPr>
        <w:tc>
          <w:tcPr>
            <w:tcW w:w="3257" w:type="dxa"/>
          </w:tcPr>
          <w:p w14:paraId="6C225847" w14:textId="77777777" w:rsidR="00AA7A7E" w:rsidRPr="00AA7A7E" w:rsidRDefault="00AA7A7E" w:rsidP="006411C7">
            <w:pPr>
              <w:spacing w:before="60" w:after="60"/>
              <w:rPr>
                <w:rFonts w:asciiTheme="minorHAnsi" w:hAnsiTheme="minorHAnsi" w:cstheme="minorHAnsi"/>
              </w:rPr>
            </w:pPr>
            <w:r w:rsidRPr="00AA7A7E">
              <w:rPr>
                <w:rFonts w:asciiTheme="minorHAnsi" w:hAnsiTheme="minorHAnsi" w:cstheme="minorHAnsi"/>
              </w:rPr>
              <w:t>Record number and name</w:t>
            </w:r>
          </w:p>
        </w:tc>
        <w:tc>
          <w:tcPr>
            <w:tcW w:w="6236" w:type="dxa"/>
          </w:tcPr>
          <w:p w14:paraId="7CA1994B" w14:textId="77777777" w:rsidR="00AA7A7E" w:rsidRPr="00AA7A7E" w:rsidRDefault="00AA7A7E" w:rsidP="006411C7">
            <w:pPr>
              <w:spacing w:before="60" w:after="60"/>
              <w:rPr>
                <w:rFonts w:asciiTheme="minorHAnsi" w:hAnsiTheme="minorHAnsi" w:cstheme="minorHAnsi"/>
              </w:rPr>
            </w:pPr>
            <w:r w:rsidRPr="00AA7A7E">
              <w:rPr>
                <w:rFonts w:asciiTheme="minorHAnsi" w:hAnsiTheme="minorHAnsi" w:cstheme="minorHAnsi"/>
              </w:rPr>
              <w:t>CFC2016/80</w:t>
            </w:r>
          </w:p>
        </w:tc>
      </w:tr>
      <w:tr w:rsidR="00AA7A7E" w:rsidRPr="00AA7A7E" w14:paraId="505CB3B1" w14:textId="77777777" w:rsidTr="00665322">
        <w:trPr>
          <w:trHeight w:val="346"/>
        </w:trPr>
        <w:tc>
          <w:tcPr>
            <w:tcW w:w="3257" w:type="dxa"/>
            <w:tcBorders>
              <w:bottom w:val="single" w:sz="4" w:space="0" w:color="auto"/>
            </w:tcBorders>
          </w:tcPr>
          <w:p w14:paraId="5D4046F8" w14:textId="77777777" w:rsidR="00AA7A7E" w:rsidRPr="00AA7A7E" w:rsidRDefault="00AA7A7E" w:rsidP="006411C7">
            <w:pPr>
              <w:spacing w:before="60" w:after="60"/>
              <w:rPr>
                <w:rFonts w:asciiTheme="minorHAnsi" w:hAnsiTheme="minorHAnsi" w:cstheme="minorHAnsi"/>
              </w:rPr>
            </w:pPr>
            <w:r w:rsidRPr="00AA7A7E">
              <w:rPr>
                <w:rFonts w:asciiTheme="minorHAnsi" w:hAnsiTheme="minorHAnsi" w:cstheme="minorHAnsi"/>
              </w:rPr>
              <w:t>Strategic Plan aligned</w:t>
            </w:r>
          </w:p>
        </w:tc>
        <w:tc>
          <w:tcPr>
            <w:tcW w:w="6236" w:type="dxa"/>
            <w:tcBorders>
              <w:bottom w:val="single" w:sz="4" w:space="0" w:color="auto"/>
            </w:tcBorders>
          </w:tcPr>
          <w:p w14:paraId="05EF820C" w14:textId="5D8DA250" w:rsidR="00AA7A7E" w:rsidRPr="00AA7A7E" w:rsidRDefault="00AA7A7E" w:rsidP="006411C7">
            <w:pPr>
              <w:spacing w:before="60" w:after="60"/>
              <w:rPr>
                <w:rFonts w:asciiTheme="minorHAnsi" w:hAnsiTheme="minorHAnsi" w:cstheme="minorHAnsi"/>
              </w:rPr>
            </w:pPr>
            <w:r w:rsidRPr="00AA7A7E">
              <w:rPr>
                <w:rFonts w:asciiTheme="minorHAnsi" w:hAnsiTheme="minorHAnsi" w:cstheme="minorHAnsi"/>
              </w:rPr>
              <w:t xml:space="preserve">Checked by </w:t>
            </w:r>
            <w:r w:rsidR="006411C7">
              <w:rPr>
                <w:rFonts w:asciiTheme="minorHAnsi" w:hAnsiTheme="minorHAnsi" w:cstheme="minorHAnsi"/>
              </w:rPr>
              <w:t>Brooke Thomas</w:t>
            </w:r>
          </w:p>
        </w:tc>
      </w:tr>
      <w:tr w:rsidR="00AA7A7E" w:rsidRPr="00AA7A7E" w14:paraId="7E1C5C26" w14:textId="77777777" w:rsidTr="00665322">
        <w:trPr>
          <w:trHeight w:val="346"/>
        </w:trPr>
        <w:tc>
          <w:tcPr>
            <w:tcW w:w="3257" w:type="dxa"/>
            <w:tcBorders>
              <w:bottom w:val="single" w:sz="4" w:space="0" w:color="auto"/>
            </w:tcBorders>
          </w:tcPr>
          <w:p w14:paraId="0F666306" w14:textId="77777777" w:rsidR="00AA7A7E" w:rsidRPr="00AA7A7E" w:rsidRDefault="00AA7A7E" w:rsidP="006411C7">
            <w:pPr>
              <w:spacing w:before="60" w:after="60"/>
              <w:rPr>
                <w:rFonts w:asciiTheme="minorHAnsi" w:hAnsiTheme="minorHAnsi" w:cstheme="minorHAnsi"/>
              </w:rPr>
            </w:pPr>
            <w:r w:rsidRPr="00AA7A7E">
              <w:rPr>
                <w:rFonts w:asciiTheme="minorHAnsi" w:hAnsiTheme="minorHAnsi" w:cstheme="minorHAnsi"/>
              </w:rPr>
              <w:t>Freedom of Information Act 2016 compliant</w:t>
            </w:r>
          </w:p>
        </w:tc>
        <w:tc>
          <w:tcPr>
            <w:tcW w:w="6236" w:type="dxa"/>
            <w:tcBorders>
              <w:bottom w:val="single" w:sz="4" w:space="0" w:color="auto"/>
            </w:tcBorders>
          </w:tcPr>
          <w:p w14:paraId="65F188DC" w14:textId="77777777" w:rsidR="00AA7A7E" w:rsidRPr="00AA7A7E" w:rsidRDefault="00AA7A7E" w:rsidP="006411C7">
            <w:pPr>
              <w:spacing w:before="60" w:after="60"/>
              <w:rPr>
                <w:rFonts w:asciiTheme="minorHAnsi" w:hAnsiTheme="minorHAnsi" w:cstheme="minorHAnsi"/>
              </w:rPr>
            </w:pPr>
            <w:r w:rsidRPr="00AA7A7E">
              <w:rPr>
                <w:rFonts w:asciiTheme="minorHAnsi" w:hAnsiTheme="minorHAnsi" w:cstheme="minorHAnsi"/>
              </w:rPr>
              <w:t>Document linked to the Open Access Information website?</w:t>
            </w:r>
            <w:r w:rsidRPr="00AA7A7E">
              <w:rPr>
                <w:rFonts w:asciiTheme="minorHAnsi" w:hAnsiTheme="minorHAnsi" w:cstheme="minorHAnsi"/>
              </w:rPr>
              <w:br/>
            </w:r>
            <w:proofErr w:type="gramStart"/>
            <w:r w:rsidRPr="00AA7A7E">
              <w:rPr>
                <w:rFonts w:asciiTheme="minorHAnsi" w:hAnsiTheme="minorHAnsi" w:cstheme="minorHAnsi"/>
              </w:rPr>
              <w:t xml:space="preserve">No  </w:t>
            </w:r>
            <w:r w:rsidRPr="00AA7A7E">
              <w:rPr>
                <w:rFonts w:ascii="Segoe UI Symbol" w:eastAsia="MS Gothic" w:hAnsi="Segoe UI Symbol" w:cs="Segoe UI Symbol"/>
              </w:rPr>
              <w:t>☐</w:t>
            </w:r>
            <w:proofErr w:type="gramEnd"/>
            <w:r w:rsidRPr="00AA7A7E">
              <w:rPr>
                <w:rFonts w:asciiTheme="minorHAnsi" w:hAnsiTheme="minorHAnsi" w:cstheme="minorHAnsi"/>
              </w:rPr>
              <w:t xml:space="preserve"> (the document is not appropriate for public viewing)</w:t>
            </w:r>
            <w:r w:rsidRPr="00AA7A7E">
              <w:rPr>
                <w:rFonts w:asciiTheme="minorHAnsi" w:hAnsiTheme="minorHAnsi" w:cstheme="minorHAnsi"/>
              </w:rPr>
              <w:br/>
              <w:t xml:space="preserve">Yes </w:t>
            </w:r>
            <w:r w:rsidRPr="00AA7A7E">
              <w:rPr>
                <w:rFonts w:ascii="Segoe UI Symbol" w:eastAsia="MS Gothic" w:hAnsi="Segoe UI Symbol" w:cs="Segoe UI Symbol"/>
              </w:rPr>
              <w:t>☒</w:t>
            </w:r>
            <w:r w:rsidRPr="00AA7A7E">
              <w:rPr>
                <w:rFonts w:asciiTheme="minorHAnsi" w:hAnsiTheme="minorHAnsi" w:cstheme="minorHAnsi"/>
              </w:rPr>
              <w:t xml:space="preserve"> (the document is appropriate for public viewing)</w:t>
            </w:r>
          </w:p>
        </w:tc>
      </w:tr>
    </w:tbl>
    <w:p w14:paraId="21082427" w14:textId="77777777" w:rsidR="00AA7A7E" w:rsidRPr="00AA7A7E" w:rsidRDefault="00AA7A7E" w:rsidP="00AA7A7E">
      <w:pPr>
        <w:rPr>
          <w:rFonts w:cstheme="minorHAnsi"/>
          <w:sz w:val="20"/>
          <w:szCs w:val="20"/>
        </w:rPr>
      </w:pPr>
      <w:r w:rsidRPr="00AA7A7E">
        <w:rPr>
          <w:rFonts w:cstheme="minorHAnsi"/>
          <w:sz w:val="20"/>
          <w:szCs w:val="20"/>
        </w:rPr>
        <w:br w:type="page"/>
      </w:r>
    </w:p>
    <w:p w14:paraId="294CA189" w14:textId="270032EE" w:rsidR="00AA7A7E" w:rsidRPr="00BA6197" w:rsidRDefault="00AA7A7E" w:rsidP="00AA7A7E">
      <w:pPr>
        <w:rPr>
          <w:rFonts w:cstheme="minorHAnsi"/>
          <w:b/>
          <w:bCs/>
          <w:sz w:val="28"/>
          <w:szCs w:val="28"/>
        </w:rPr>
      </w:pPr>
      <w:r w:rsidRPr="00BA6197">
        <w:rPr>
          <w:rFonts w:cstheme="minorHAnsi"/>
          <w:b/>
          <w:bCs/>
          <w:sz w:val="28"/>
          <w:szCs w:val="28"/>
        </w:rPr>
        <w:lastRenderedPageBreak/>
        <w:t>Purpose</w:t>
      </w:r>
    </w:p>
    <w:p w14:paraId="7BDDD1B8" w14:textId="77777777" w:rsidR="00AA7A7E" w:rsidRPr="00AA7A7E" w:rsidRDefault="00AA7A7E" w:rsidP="00AA7A7E">
      <w:pPr>
        <w:rPr>
          <w:rFonts w:cstheme="minorHAnsi"/>
          <w:sz w:val="24"/>
          <w:szCs w:val="24"/>
        </w:rPr>
      </w:pPr>
      <w:r w:rsidRPr="00AA7A7E">
        <w:rPr>
          <w:rFonts w:cstheme="minorHAnsi"/>
          <w:sz w:val="24"/>
          <w:szCs w:val="24"/>
        </w:rPr>
        <w:t xml:space="preserve">The Cultural Facilities Corporation (CFC) is committed to providing all our stakeholders with the highest standard of customer service. We treat complaints as an opportunity to learn more about our stakeholders’ needs and to improve our service. This policy applies to all complaints and/or concerns received from the public. </w:t>
      </w:r>
    </w:p>
    <w:p w14:paraId="6F765C50" w14:textId="501272BE" w:rsidR="00AA7A7E" w:rsidRPr="00AA7A7E" w:rsidRDefault="00AA7A7E" w:rsidP="00AA7A7E">
      <w:pPr>
        <w:rPr>
          <w:rFonts w:cstheme="minorHAnsi"/>
          <w:sz w:val="24"/>
          <w:szCs w:val="24"/>
        </w:rPr>
      </w:pPr>
      <w:r w:rsidRPr="00AA7A7E">
        <w:rPr>
          <w:rFonts w:cstheme="minorHAnsi"/>
          <w:sz w:val="24"/>
          <w:szCs w:val="24"/>
        </w:rPr>
        <w:t xml:space="preserve">The CFC’s entities – the Canberra Theatre Centre, Canberra Museum and Gallery and ACT Historic Places – as well as its corporate office are committed to resolving all complaints quickly and fairly. </w:t>
      </w:r>
    </w:p>
    <w:p w14:paraId="2F03F086" w14:textId="77777777" w:rsidR="00AA7A7E" w:rsidRPr="00AA7A7E" w:rsidRDefault="00AA7A7E" w:rsidP="00AA7A7E">
      <w:pPr>
        <w:rPr>
          <w:rFonts w:cstheme="minorHAnsi"/>
          <w:sz w:val="24"/>
          <w:szCs w:val="24"/>
        </w:rPr>
      </w:pPr>
      <w:r w:rsidRPr="00AA7A7E">
        <w:rPr>
          <w:rFonts w:cstheme="minorHAnsi"/>
          <w:sz w:val="24"/>
          <w:szCs w:val="24"/>
        </w:rPr>
        <w:t xml:space="preserve">Should you have a complaint or concern about the services, products, policies, or processes of the CFC, or of an employee of the CFC, there are a number of ways you can contact us:  </w:t>
      </w:r>
    </w:p>
    <w:p w14:paraId="452F07AA" w14:textId="48B54AEA" w:rsidR="00AA7A7E" w:rsidRPr="00994D47" w:rsidRDefault="00AA7A7E" w:rsidP="00994D47">
      <w:pPr>
        <w:pStyle w:val="ListParagraph"/>
        <w:numPr>
          <w:ilvl w:val="0"/>
          <w:numId w:val="5"/>
        </w:numPr>
        <w:tabs>
          <w:tab w:val="left" w:pos="284"/>
        </w:tabs>
        <w:rPr>
          <w:rFonts w:cstheme="minorHAnsi"/>
          <w:sz w:val="24"/>
          <w:szCs w:val="24"/>
        </w:rPr>
      </w:pPr>
      <w:r w:rsidRPr="00994D47">
        <w:rPr>
          <w:rFonts w:cstheme="minorHAnsi"/>
          <w:b/>
          <w:bCs/>
          <w:sz w:val="24"/>
          <w:szCs w:val="24"/>
        </w:rPr>
        <w:t>in writing</w:t>
      </w:r>
      <w:r w:rsidRPr="00994D47">
        <w:rPr>
          <w:rFonts w:cstheme="minorHAnsi"/>
          <w:sz w:val="24"/>
          <w:szCs w:val="24"/>
        </w:rPr>
        <w:t xml:space="preserve"> (including in visitor books at CMAG and </w:t>
      </w:r>
      <w:r w:rsidR="00A33570">
        <w:rPr>
          <w:rFonts w:cstheme="minorHAnsi"/>
          <w:sz w:val="24"/>
          <w:szCs w:val="24"/>
        </w:rPr>
        <w:t xml:space="preserve">ACT </w:t>
      </w:r>
      <w:r w:rsidRPr="00994D47">
        <w:rPr>
          <w:rFonts w:cstheme="minorHAnsi"/>
          <w:sz w:val="24"/>
          <w:szCs w:val="24"/>
        </w:rPr>
        <w:t xml:space="preserve">Historic Places)  </w:t>
      </w:r>
    </w:p>
    <w:p w14:paraId="3845ED6F" w14:textId="4C4D60ED" w:rsidR="00AA7A7E" w:rsidRPr="00994D47" w:rsidRDefault="00AA7A7E" w:rsidP="00994D47">
      <w:pPr>
        <w:pStyle w:val="ListParagraph"/>
        <w:numPr>
          <w:ilvl w:val="0"/>
          <w:numId w:val="6"/>
        </w:numPr>
        <w:tabs>
          <w:tab w:val="left" w:pos="284"/>
        </w:tabs>
        <w:rPr>
          <w:rFonts w:cstheme="minorHAnsi"/>
          <w:sz w:val="24"/>
          <w:szCs w:val="24"/>
        </w:rPr>
      </w:pPr>
      <w:r w:rsidRPr="00994D47">
        <w:rPr>
          <w:rFonts w:cstheme="minorHAnsi"/>
          <w:sz w:val="24"/>
          <w:szCs w:val="24"/>
        </w:rPr>
        <w:t>all CFC properties have the same postal address – Cultural Facilities Corporation, PO Box 939, CIVIC SQUARE ACT 2608</w:t>
      </w:r>
    </w:p>
    <w:p w14:paraId="6DB28BA5" w14:textId="555E6D42" w:rsidR="00AA7A7E" w:rsidRPr="00994D47" w:rsidRDefault="00AA7A7E" w:rsidP="00994D47">
      <w:pPr>
        <w:pStyle w:val="ListParagraph"/>
        <w:numPr>
          <w:ilvl w:val="0"/>
          <w:numId w:val="5"/>
        </w:numPr>
        <w:tabs>
          <w:tab w:val="left" w:pos="284"/>
        </w:tabs>
        <w:rPr>
          <w:rFonts w:cstheme="minorHAnsi"/>
          <w:sz w:val="24"/>
          <w:szCs w:val="24"/>
        </w:rPr>
      </w:pPr>
      <w:r w:rsidRPr="00994D47">
        <w:rPr>
          <w:rFonts w:cstheme="minorHAnsi"/>
          <w:b/>
          <w:bCs/>
          <w:sz w:val="24"/>
          <w:szCs w:val="24"/>
        </w:rPr>
        <w:t>in person</w:t>
      </w:r>
      <w:r w:rsidRPr="00994D47">
        <w:rPr>
          <w:rFonts w:cstheme="minorHAnsi"/>
          <w:sz w:val="24"/>
          <w:szCs w:val="24"/>
        </w:rPr>
        <w:t xml:space="preserve"> – speak to a Front of House or Visitor Services staff member </w:t>
      </w:r>
    </w:p>
    <w:p w14:paraId="75A42E5A" w14:textId="667A9AAB" w:rsidR="00AA7A7E" w:rsidRPr="00994D47" w:rsidRDefault="00AA7A7E" w:rsidP="00994D47">
      <w:pPr>
        <w:pStyle w:val="ListParagraph"/>
        <w:numPr>
          <w:ilvl w:val="0"/>
          <w:numId w:val="7"/>
        </w:numPr>
        <w:tabs>
          <w:tab w:val="left" w:pos="284"/>
        </w:tabs>
        <w:rPr>
          <w:rFonts w:cstheme="minorHAnsi"/>
          <w:b/>
          <w:bCs/>
          <w:sz w:val="24"/>
          <w:szCs w:val="24"/>
        </w:rPr>
      </w:pPr>
      <w:r w:rsidRPr="00994D47">
        <w:rPr>
          <w:rFonts w:cstheme="minorHAnsi"/>
          <w:b/>
          <w:bCs/>
          <w:sz w:val="24"/>
          <w:szCs w:val="24"/>
        </w:rPr>
        <w:t xml:space="preserve">by phone </w:t>
      </w:r>
    </w:p>
    <w:p w14:paraId="369324D0" w14:textId="11D982B8" w:rsidR="00AA7A7E" w:rsidRPr="00994D47" w:rsidRDefault="00AA7A7E" w:rsidP="00994D47">
      <w:pPr>
        <w:pStyle w:val="ListParagraph"/>
        <w:numPr>
          <w:ilvl w:val="0"/>
          <w:numId w:val="8"/>
        </w:numPr>
        <w:tabs>
          <w:tab w:val="left" w:pos="284"/>
        </w:tabs>
        <w:rPr>
          <w:rFonts w:cstheme="minorHAnsi"/>
          <w:sz w:val="24"/>
          <w:szCs w:val="24"/>
        </w:rPr>
      </w:pPr>
      <w:r w:rsidRPr="00994D47">
        <w:rPr>
          <w:rFonts w:cstheme="minorHAnsi"/>
          <w:sz w:val="24"/>
          <w:szCs w:val="24"/>
        </w:rPr>
        <w:t>Canberra Theatre (02) 6275 2700</w:t>
      </w:r>
    </w:p>
    <w:p w14:paraId="45F80B9D" w14:textId="09E27B56" w:rsidR="00AA7A7E" w:rsidRPr="00994D47" w:rsidRDefault="00AA7A7E" w:rsidP="00994D47">
      <w:pPr>
        <w:pStyle w:val="ListParagraph"/>
        <w:numPr>
          <w:ilvl w:val="0"/>
          <w:numId w:val="8"/>
        </w:numPr>
        <w:tabs>
          <w:tab w:val="left" w:pos="284"/>
        </w:tabs>
        <w:rPr>
          <w:rFonts w:cstheme="minorHAnsi"/>
          <w:sz w:val="24"/>
          <w:szCs w:val="24"/>
        </w:rPr>
      </w:pPr>
      <w:r w:rsidRPr="00994D47">
        <w:rPr>
          <w:rFonts w:cstheme="minorHAnsi"/>
          <w:sz w:val="24"/>
          <w:szCs w:val="24"/>
        </w:rPr>
        <w:t>CMAG (02) 6207 3968</w:t>
      </w:r>
    </w:p>
    <w:p w14:paraId="57E26DE2" w14:textId="76EAC7EC" w:rsidR="00AA7A7E" w:rsidRPr="00994D47" w:rsidRDefault="00A33570" w:rsidP="00994D47">
      <w:pPr>
        <w:pStyle w:val="ListParagraph"/>
        <w:numPr>
          <w:ilvl w:val="0"/>
          <w:numId w:val="8"/>
        </w:numPr>
        <w:tabs>
          <w:tab w:val="left" w:pos="284"/>
        </w:tabs>
        <w:rPr>
          <w:rFonts w:cstheme="minorHAnsi"/>
          <w:sz w:val="24"/>
          <w:szCs w:val="24"/>
        </w:rPr>
      </w:pPr>
      <w:r>
        <w:rPr>
          <w:rFonts w:cstheme="minorHAnsi"/>
          <w:sz w:val="24"/>
          <w:szCs w:val="24"/>
        </w:rPr>
        <w:t xml:space="preserve">ACT </w:t>
      </w:r>
      <w:r w:rsidR="00AA7A7E" w:rsidRPr="00994D47">
        <w:rPr>
          <w:rFonts w:cstheme="minorHAnsi"/>
          <w:sz w:val="24"/>
          <w:szCs w:val="24"/>
        </w:rPr>
        <w:t>Historic Places (02) 6237 6502</w:t>
      </w:r>
    </w:p>
    <w:p w14:paraId="249E6DDD" w14:textId="7D493BD2" w:rsidR="00AA7A7E" w:rsidRPr="00994D47" w:rsidRDefault="00AA7A7E" w:rsidP="00994D47">
      <w:pPr>
        <w:pStyle w:val="ListParagraph"/>
        <w:numPr>
          <w:ilvl w:val="0"/>
          <w:numId w:val="8"/>
        </w:numPr>
        <w:tabs>
          <w:tab w:val="left" w:pos="284"/>
        </w:tabs>
        <w:rPr>
          <w:rFonts w:cstheme="minorHAnsi"/>
          <w:sz w:val="24"/>
          <w:szCs w:val="24"/>
        </w:rPr>
      </w:pPr>
      <w:r w:rsidRPr="00994D47">
        <w:rPr>
          <w:rFonts w:cstheme="minorHAnsi"/>
          <w:sz w:val="24"/>
          <w:szCs w:val="24"/>
        </w:rPr>
        <w:t>Corporate Office (02) 6205 4574</w:t>
      </w:r>
    </w:p>
    <w:p w14:paraId="6CE98D4D" w14:textId="097BAF36" w:rsidR="00AA7A7E" w:rsidRPr="00994D47" w:rsidRDefault="00AA7A7E" w:rsidP="00994D47">
      <w:pPr>
        <w:pStyle w:val="ListParagraph"/>
        <w:numPr>
          <w:ilvl w:val="0"/>
          <w:numId w:val="9"/>
        </w:numPr>
        <w:tabs>
          <w:tab w:val="left" w:pos="284"/>
        </w:tabs>
        <w:rPr>
          <w:rFonts w:cstheme="minorHAnsi"/>
          <w:b/>
          <w:bCs/>
          <w:sz w:val="24"/>
          <w:szCs w:val="24"/>
        </w:rPr>
      </w:pPr>
      <w:r w:rsidRPr="00994D47">
        <w:rPr>
          <w:rFonts w:cstheme="minorHAnsi"/>
          <w:b/>
          <w:bCs/>
          <w:sz w:val="24"/>
          <w:szCs w:val="24"/>
        </w:rPr>
        <w:t xml:space="preserve">by email </w:t>
      </w:r>
    </w:p>
    <w:p w14:paraId="56DEB0E4" w14:textId="0F784775" w:rsidR="00AA7A7E" w:rsidRPr="00994D47" w:rsidRDefault="00AA7A7E" w:rsidP="00994D47">
      <w:pPr>
        <w:pStyle w:val="ListParagraph"/>
        <w:numPr>
          <w:ilvl w:val="0"/>
          <w:numId w:val="10"/>
        </w:numPr>
        <w:tabs>
          <w:tab w:val="left" w:pos="284"/>
        </w:tabs>
        <w:rPr>
          <w:rFonts w:cstheme="minorHAnsi"/>
          <w:sz w:val="24"/>
          <w:szCs w:val="24"/>
        </w:rPr>
      </w:pPr>
      <w:r w:rsidRPr="00994D47">
        <w:rPr>
          <w:rFonts w:cstheme="minorHAnsi"/>
          <w:sz w:val="24"/>
          <w:szCs w:val="24"/>
        </w:rPr>
        <w:t xml:space="preserve">Canberra Theatre </w:t>
      </w:r>
      <w:hyperlink r:id="rId9" w:history="1">
        <w:r w:rsidR="00994D47" w:rsidRPr="00994D47">
          <w:rPr>
            <w:rStyle w:val="Hyperlink"/>
            <w:rFonts w:cstheme="minorHAnsi"/>
            <w:sz w:val="24"/>
            <w:szCs w:val="24"/>
          </w:rPr>
          <w:t>https://canberratheatrecentre.com.au/contact-us/</w:t>
        </w:r>
      </w:hyperlink>
    </w:p>
    <w:p w14:paraId="383506A7" w14:textId="1AED08AE" w:rsidR="00AA7A7E" w:rsidRPr="00994D47" w:rsidRDefault="00AA7A7E" w:rsidP="00994D47">
      <w:pPr>
        <w:pStyle w:val="ListParagraph"/>
        <w:numPr>
          <w:ilvl w:val="0"/>
          <w:numId w:val="10"/>
        </w:numPr>
        <w:tabs>
          <w:tab w:val="left" w:pos="284"/>
        </w:tabs>
        <w:rPr>
          <w:rFonts w:cstheme="minorHAnsi"/>
          <w:sz w:val="24"/>
          <w:szCs w:val="24"/>
        </w:rPr>
      </w:pPr>
      <w:r w:rsidRPr="00994D47">
        <w:rPr>
          <w:rFonts w:cstheme="minorHAnsi"/>
          <w:sz w:val="24"/>
          <w:szCs w:val="24"/>
        </w:rPr>
        <w:t xml:space="preserve">CMAG </w:t>
      </w:r>
      <w:hyperlink r:id="rId10" w:history="1">
        <w:r w:rsidR="00994D47" w:rsidRPr="00994D47">
          <w:rPr>
            <w:rStyle w:val="Hyperlink"/>
            <w:rFonts w:cstheme="minorHAnsi"/>
            <w:sz w:val="24"/>
            <w:szCs w:val="24"/>
          </w:rPr>
          <w:t>cmag@act.gov.au</w:t>
        </w:r>
      </w:hyperlink>
    </w:p>
    <w:p w14:paraId="654CF6C1" w14:textId="65EE2954" w:rsidR="00AA7A7E" w:rsidRPr="00994D47" w:rsidRDefault="00A33570" w:rsidP="00994D47">
      <w:pPr>
        <w:pStyle w:val="ListParagraph"/>
        <w:numPr>
          <w:ilvl w:val="0"/>
          <w:numId w:val="10"/>
        </w:numPr>
        <w:tabs>
          <w:tab w:val="left" w:pos="284"/>
        </w:tabs>
        <w:rPr>
          <w:rFonts w:cstheme="minorHAnsi"/>
          <w:sz w:val="24"/>
          <w:szCs w:val="24"/>
        </w:rPr>
      </w:pPr>
      <w:r>
        <w:rPr>
          <w:rFonts w:cstheme="minorHAnsi"/>
          <w:sz w:val="24"/>
          <w:szCs w:val="24"/>
        </w:rPr>
        <w:t xml:space="preserve">ACT </w:t>
      </w:r>
      <w:r w:rsidR="00AA7A7E" w:rsidRPr="00994D47">
        <w:rPr>
          <w:rFonts w:cstheme="minorHAnsi"/>
          <w:sz w:val="24"/>
          <w:szCs w:val="24"/>
        </w:rPr>
        <w:t xml:space="preserve">Historic Places </w:t>
      </w:r>
      <w:hyperlink r:id="rId11" w:history="1">
        <w:r w:rsidR="00994D47" w:rsidRPr="00994D47">
          <w:rPr>
            <w:rStyle w:val="Hyperlink"/>
            <w:rFonts w:cstheme="minorHAnsi"/>
            <w:sz w:val="24"/>
            <w:szCs w:val="24"/>
          </w:rPr>
          <w:t>Lanyon.homestead@act.gov.au</w:t>
        </w:r>
      </w:hyperlink>
    </w:p>
    <w:p w14:paraId="54A32BE5" w14:textId="2C3D0FB6" w:rsidR="00AA7A7E" w:rsidRPr="00994D47" w:rsidRDefault="00AA7A7E" w:rsidP="00994D47">
      <w:pPr>
        <w:pStyle w:val="ListParagraph"/>
        <w:numPr>
          <w:ilvl w:val="0"/>
          <w:numId w:val="10"/>
        </w:numPr>
        <w:tabs>
          <w:tab w:val="left" w:pos="284"/>
        </w:tabs>
        <w:rPr>
          <w:rFonts w:cstheme="minorHAnsi"/>
          <w:sz w:val="24"/>
          <w:szCs w:val="24"/>
        </w:rPr>
      </w:pPr>
      <w:r w:rsidRPr="00994D47">
        <w:rPr>
          <w:rFonts w:cstheme="minorHAnsi"/>
          <w:sz w:val="24"/>
          <w:szCs w:val="24"/>
        </w:rPr>
        <w:t xml:space="preserve">Corporate Office </w:t>
      </w:r>
      <w:hyperlink r:id="rId12" w:history="1">
        <w:r w:rsidR="00994D47" w:rsidRPr="00994D47">
          <w:rPr>
            <w:rStyle w:val="Hyperlink"/>
            <w:rFonts w:cstheme="minorHAnsi"/>
            <w:sz w:val="24"/>
            <w:szCs w:val="24"/>
          </w:rPr>
          <w:t>CFCCorporateFinance@act.gov.au</w:t>
        </w:r>
      </w:hyperlink>
    </w:p>
    <w:p w14:paraId="6128C4DB" w14:textId="41974D9D" w:rsidR="00AA7A7E" w:rsidRPr="00AA7A7E" w:rsidRDefault="00AA7A7E" w:rsidP="00AA7A7E">
      <w:pPr>
        <w:rPr>
          <w:rFonts w:cstheme="minorHAnsi"/>
          <w:sz w:val="24"/>
          <w:szCs w:val="24"/>
        </w:rPr>
      </w:pPr>
      <w:r w:rsidRPr="00AA7A7E">
        <w:rPr>
          <w:rFonts w:cstheme="minorHAnsi"/>
          <w:sz w:val="24"/>
          <w:szCs w:val="24"/>
        </w:rPr>
        <w:t xml:space="preserve">Our complaint handling process is </w:t>
      </w:r>
      <w:r w:rsidR="00994D47">
        <w:rPr>
          <w:rFonts w:cstheme="minorHAnsi"/>
          <w:sz w:val="24"/>
          <w:szCs w:val="24"/>
        </w:rPr>
        <w:t>intend</w:t>
      </w:r>
      <w:r w:rsidRPr="00AA7A7E">
        <w:rPr>
          <w:rFonts w:cstheme="minorHAnsi"/>
          <w:sz w:val="24"/>
          <w:szCs w:val="24"/>
        </w:rPr>
        <w:t>ed to:</w:t>
      </w:r>
    </w:p>
    <w:p w14:paraId="74150229" w14:textId="741E37B1" w:rsidR="00AA7A7E" w:rsidRPr="00994D47" w:rsidRDefault="00AA7A7E" w:rsidP="00994D47">
      <w:pPr>
        <w:pStyle w:val="ListParagraph"/>
        <w:numPr>
          <w:ilvl w:val="0"/>
          <w:numId w:val="11"/>
        </w:numPr>
        <w:rPr>
          <w:rFonts w:cstheme="minorHAnsi"/>
          <w:sz w:val="24"/>
          <w:szCs w:val="24"/>
        </w:rPr>
      </w:pPr>
      <w:r w:rsidRPr="00994D47">
        <w:rPr>
          <w:rFonts w:cstheme="minorHAnsi"/>
          <w:sz w:val="24"/>
          <w:szCs w:val="24"/>
        </w:rPr>
        <w:t>provide you with access to an open and responsive complaints-handling process;</w:t>
      </w:r>
    </w:p>
    <w:p w14:paraId="6500E1B8" w14:textId="591E8A55" w:rsidR="00AA7A7E" w:rsidRPr="00994D47" w:rsidRDefault="00AA7A7E" w:rsidP="00994D47">
      <w:pPr>
        <w:pStyle w:val="ListParagraph"/>
        <w:numPr>
          <w:ilvl w:val="0"/>
          <w:numId w:val="11"/>
        </w:numPr>
        <w:rPr>
          <w:rFonts w:cstheme="minorHAnsi"/>
          <w:sz w:val="24"/>
          <w:szCs w:val="24"/>
        </w:rPr>
      </w:pPr>
      <w:r w:rsidRPr="00994D47">
        <w:rPr>
          <w:rFonts w:cstheme="minorHAnsi"/>
          <w:sz w:val="24"/>
          <w:szCs w:val="24"/>
        </w:rPr>
        <w:t xml:space="preserve">ensure the CFC satisfactorily resolves complaints in a consistent, </w:t>
      </w:r>
      <w:proofErr w:type="gramStart"/>
      <w:r w:rsidRPr="00994D47">
        <w:rPr>
          <w:rFonts w:cstheme="minorHAnsi"/>
          <w:sz w:val="24"/>
          <w:szCs w:val="24"/>
        </w:rPr>
        <w:t>systematic</w:t>
      </w:r>
      <w:proofErr w:type="gramEnd"/>
      <w:r w:rsidRPr="00994D47">
        <w:rPr>
          <w:rFonts w:cstheme="minorHAnsi"/>
          <w:sz w:val="24"/>
          <w:szCs w:val="24"/>
        </w:rPr>
        <w:t xml:space="preserve"> and responsive manner; and </w:t>
      </w:r>
    </w:p>
    <w:p w14:paraId="6DE02F60" w14:textId="3EECAA78" w:rsidR="00AA7A7E" w:rsidRPr="00994D47" w:rsidRDefault="00AA7A7E" w:rsidP="00994D47">
      <w:pPr>
        <w:pStyle w:val="ListParagraph"/>
        <w:numPr>
          <w:ilvl w:val="0"/>
          <w:numId w:val="11"/>
        </w:numPr>
        <w:rPr>
          <w:rFonts w:cstheme="minorHAnsi"/>
          <w:sz w:val="24"/>
          <w:szCs w:val="24"/>
        </w:rPr>
      </w:pPr>
      <w:r w:rsidRPr="00994D47">
        <w:rPr>
          <w:rFonts w:cstheme="minorHAnsi"/>
          <w:sz w:val="24"/>
          <w:szCs w:val="24"/>
        </w:rPr>
        <w:t>help the CFC improve its services, products, policies, or processes.</w:t>
      </w:r>
    </w:p>
    <w:p w14:paraId="7AC9275E" w14:textId="77777777" w:rsidR="00236283" w:rsidRDefault="00236283" w:rsidP="00236283">
      <w:pPr>
        <w:pStyle w:val="ListParagraph"/>
        <w:rPr>
          <w:rFonts w:cstheme="minorHAnsi"/>
          <w:sz w:val="24"/>
          <w:szCs w:val="24"/>
        </w:rPr>
      </w:pPr>
    </w:p>
    <w:p w14:paraId="284C4F85" w14:textId="77777777" w:rsidR="00236283" w:rsidRPr="00236283" w:rsidRDefault="00236283" w:rsidP="00236283">
      <w:pPr>
        <w:rPr>
          <w:rFonts w:cstheme="minorHAnsi"/>
          <w:b/>
          <w:bCs/>
          <w:sz w:val="28"/>
          <w:szCs w:val="28"/>
        </w:rPr>
      </w:pPr>
      <w:r w:rsidRPr="00236283">
        <w:rPr>
          <w:rFonts w:cstheme="minorHAnsi"/>
          <w:b/>
          <w:bCs/>
          <w:sz w:val="28"/>
          <w:szCs w:val="28"/>
        </w:rPr>
        <w:t>Complaint handling process</w:t>
      </w:r>
    </w:p>
    <w:p w14:paraId="5B13EA1D" w14:textId="7CE6D5A9" w:rsidR="00AA7A7E" w:rsidRPr="00994D47" w:rsidRDefault="00AA7A7E" w:rsidP="00236283">
      <w:pPr>
        <w:pStyle w:val="ListParagraph"/>
        <w:ind w:left="0"/>
        <w:rPr>
          <w:rFonts w:cstheme="minorHAnsi"/>
          <w:sz w:val="24"/>
          <w:szCs w:val="24"/>
        </w:rPr>
      </w:pPr>
      <w:r w:rsidRPr="00994D47">
        <w:rPr>
          <w:rFonts w:cstheme="minorHAnsi"/>
          <w:sz w:val="24"/>
          <w:szCs w:val="24"/>
        </w:rPr>
        <w:t>In response to a complaint, the CFC will:</w:t>
      </w:r>
    </w:p>
    <w:p w14:paraId="2609532C" w14:textId="107E3C4B" w:rsidR="00AA7A7E" w:rsidRPr="00994D47" w:rsidRDefault="00AA7A7E" w:rsidP="00994D47">
      <w:pPr>
        <w:pStyle w:val="ListParagraph"/>
        <w:numPr>
          <w:ilvl w:val="0"/>
          <w:numId w:val="11"/>
        </w:numPr>
        <w:rPr>
          <w:rFonts w:cstheme="minorHAnsi"/>
          <w:sz w:val="24"/>
          <w:szCs w:val="24"/>
        </w:rPr>
      </w:pPr>
      <w:r w:rsidRPr="00994D47">
        <w:rPr>
          <w:rFonts w:cstheme="minorHAnsi"/>
          <w:sz w:val="24"/>
          <w:szCs w:val="24"/>
        </w:rPr>
        <w:t>Acknowledge receipt of the complaint promptly.</w:t>
      </w:r>
    </w:p>
    <w:p w14:paraId="4EC88365" w14:textId="6C705985" w:rsidR="00AA7A7E" w:rsidRPr="00994D47" w:rsidRDefault="00AA7A7E" w:rsidP="00994D47">
      <w:pPr>
        <w:pStyle w:val="ListParagraph"/>
        <w:numPr>
          <w:ilvl w:val="0"/>
          <w:numId w:val="11"/>
        </w:numPr>
        <w:rPr>
          <w:rFonts w:cstheme="minorHAnsi"/>
          <w:sz w:val="24"/>
          <w:szCs w:val="24"/>
        </w:rPr>
      </w:pPr>
      <w:r w:rsidRPr="00994D47">
        <w:rPr>
          <w:rFonts w:cstheme="minorHAnsi"/>
          <w:sz w:val="24"/>
          <w:szCs w:val="24"/>
        </w:rPr>
        <w:t>Assess the complaint and assign a priority.</w:t>
      </w:r>
    </w:p>
    <w:p w14:paraId="7D658D4F" w14:textId="540E913E" w:rsidR="00AA7A7E" w:rsidRPr="00994D47" w:rsidRDefault="00AA7A7E" w:rsidP="00994D47">
      <w:pPr>
        <w:pStyle w:val="ListParagraph"/>
        <w:numPr>
          <w:ilvl w:val="0"/>
          <w:numId w:val="11"/>
        </w:numPr>
        <w:rPr>
          <w:rFonts w:cstheme="minorHAnsi"/>
          <w:sz w:val="24"/>
          <w:szCs w:val="24"/>
        </w:rPr>
      </w:pPr>
      <w:r w:rsidRPr="00994D47">
        <w:rPr>
          <w:rFonts w:cstheme="minorHAnsi"/>
          <w:sz w:val="24"/>
          <w:szCs w:val="24"/>
        </w:rPr>
        <w:t>Investigate the complaint to determine the facts and options for resolution.</w:t>
      </w:r>
    </w:p>
    <w:p w14:paraId="3BEB04D0" w14:textId="29CCDC0A" w:rsidR="00AA7A7E" w:rsidRPr="00994D47" w:rsidRDefault="00AA7A7E" w:rsidP="00994D47">
      <w:pPr>
        <w:pStyle w:val="ListParagraph"/>
        <w:numPr>
          <w:ilvl w:val="0"/>
          <w:numId w:val="11"/>
        </w:numPr>
        <w:rPr>
          <w:rFonts w:cstheme="minorHAnsi"/>
          <w:sz w:val="24"/>
          <w:szCs w:val="24"/>
        </w:rPr>
      </w:pPr>
      <w:r w:rsidRPr="00994D47">
        <w:rPr>
          <w:rFonts w:cstheme="minorHAnsi"/>
          <w:sz w:val="24"/>
          <w:szCs w:val="24"/>
        </w:rPr>
        <w:t>Keep the complainant informed of progress.</w:t>
      </w:r>
    </w:p>
    <w:p w14:paraId="422475CE" w14:textId="409A1520" w:rsidR="00AA7A7E" w:rsidRPr="00994D47" w:rsidRDefault="00AA7A7E" w:rsidP="00994D47">
      <w:pPr>
        <w:pStyle w:val="ListParagraph"/>
        <w:numPr>
          <w:ilvl w:val="0"/>
          <w:numId w:val="11"/>
        </w:numPr>
        <w:rPr>
          <w:rFonts w:cstheme="minorHAnsi"/>
          <w:sz w:val="24"/>
          <w:szCs w:val="24"/>
        </w:rPr>
      </w:pPr>
      <w:r w:rsidRPr="00994D47">
        <w:rPr>
          <w:rFonts w:cstheme="minorHAnsi"/>
          <w:sz w:val="24"/>
          <w:szCs w:val="24"/>
        </w:rPr>
        <w:t>Formally respond to the complaint.</w:t>
      </w:r>
    </w:p>
    <w:p w14:paraId="0BC83C4D" w14:textId="3610A2ED" w:rsidR="00AA7A7E" w:rsidRPr="00994D47" w:rsidRDefault="00AA7A7E" w:rsidP="00994D47">
      <w:pPr>
        <w:pStyle w:val="ListParagraph"/>
        <w:numPr>
          <w:ilvl w:val="0"/>
          <w:numId w:val="11"/>
        </w:numPr>
        <w:rPr>
          <w:rFonts w:cstheme="minorHAnsi"/>
          <w:sz w:val="24"/>
          <w:szCs w:val="24"/>
        </w:rPr>
      </w:pPr>
      <w:r w:rsidRPr="00994D47">
        <w:rPr>
          <w:rFonts w:cstheme="minorHAnsi"/>
          <w:sz w:val="24"/>
          <w:szCs w:val="24"/>
        </w:rPr>
        <w:t>Advise on options for internal and external review if the complainant remains dissatisfied with the response.</w:t>
      </w:r>
    </w:p>
    <w:p w14:paraId="1BBE0EFF" w14:textId="428FFFFB" w:rsidR="00AA7A7E" w:rsidRPr="00994D47" w:rsidRDefault="00AA7A7E" w:rsidP="00994D47">
      <w:pPr>
        <w:pStyle w:val="ListParagraph"/>
        <w:numPr>
          <w:ilvl w:val="0"/>
          <w:numId w:val="11"/>
        </w:numPr>
        <w:rPr>
          <w:rFonts w:cstheme="minorHAnsi"/>
          <w:sz w:val="24"/>
          <w:szCs w:val="24"/>
        </w:rPr>
      </w:pPr>
      <w:r w:rsidRPr="00994D47">
        <w:rPr>
          <w:rFonts w:cstheme="minorHAnsi"/>
          <w:sz w:val="24"/>
          <w:szCs w:val="24"/>
        </w:rPr>
        <w:t>Consider if there are any systemic issues that warrant further attention.</w:t>
      </w:r>
    </w:p>
    <w:p w14:paraId="655208E1" w14:textId="77777777" w:rsidR="00AA7A7E" w:rsidRPr="00AA7A7E" w:rsidRDefault="00AA7A7E" w:rsidP="00AA7A7E">
      <w:pPr>
        <w:rPr>
          <w:rFonts w:cstheme="minorHAnsi"/>
          <w:sz w:val="24"/>
          <w:szCs w:val="24"/>
        </w:rPr>
      </w:pPr>
      <w:r w:rsidRPr="00AA7A7E">
        <w:rPr>
          <w:rFonts w:cstheme="minorHAnsi"/>
          <w:sz w:val="24"/>
          <w:szCs w:val="24"/>
        </w:rPr>
        <w:t xml:space="preserve">We will respect the confidentiality of personal information and use it only in accordance with the </w:t>
      </w:r>
      <w:r w:rsidRPr="00A33570">
        <w:rPr>
          <w:rFonts w:cstheme="minorHAnsi"/>
          <w:i/>
          <w:iCs/>
          <w:sz w:val="24"/>
          <w:szCs w:val="24"/>
        </w:rPr>
        <w:t>Privacy Act 1998</w:t>
      </w:r>
      <w:r w:rsidRPr="00AA7A7E">
        <w:rPr>
          <w:rFonts w:cstheme="minorHAnsi"/>
          <w:sz w:val="24"/>
          <w:szCs w:val="24"/>
        </w:rPr>
        <w:t xml:space="preserve"> and other related legislation.</w:t>
      </w:r>
    </w:p>
    <w:p w14:paraId="1B304945" w14:textId="29AFBC25" w:rsidR="00B053B8" w:rsidRPr="00236283" w:rsidRDefault="00B053B8" w:rsidP="00236283">
      <w:pPr>
        <w:pStyle w:val="ListParagraph"/>
        <w:numPr>
          <w:ilvl w:val="0"/>
          <w:numId w:val="14"/>
        </w:numPr>
        <w:ind w:left="426" w:hanging="426"/>
        <w:rPr>
          <w:rFonts w:cstheme="minorHAnsi"/>
          <w:sz w:val="24"/>
          <w:szCs w:val="24"/>
        </w:rPr>
      </w:pPr>
      <w:r w:rsidRPr="00236283">
        <w:rPr>
          <w:rFonts w:cstheme="minorHAnsi"/>
          <w:sz w:val="24"/>
          <w:szCs w:val="24"/>
        </w:rPr>
        <w:lastRenderedPageBreak/>
        <w:t>All complaints, received by any channel, will be provided</w:t>
      </w:r>
      <w:r w:rsidR="00DF73A3" w:rsidRPr="00236283">
        <w:rPr>
          <w:rFonts w:cstheme="minorHAnsi"/>
          <w:sz w:val="24"/>
          <w:szCs w:val="24"/>
        </w:rPr>
        <w:t xml:space="preserve"> in writing</w:t>
      </w:r>
      <w:r w:rsidRPr="00236283">
        <w:rPr>
          <w:rFonts w:cstheme="minorHAnsi"/>
          <w:sz w:val="24"/>
          <w:szCs w:val="24"/>
        </w:rPr>
        <w:t xml:space="preserve"> to the responsible officer in each entity </w:t>
      </w:r>
      <w:r w:rsidR="00DF73A3" w:rsidRPr="00236283">
        <w:rPr>
          <w:rFonts w:cstheme="minorHAnsi"/>
          <w:sz w:val="24"/>
          <w:szCs w:val="24"/>
        </w:rPr>
        <w:t xml:space="preserve">to determine and delegate </w:t>
      </w:r>
      <w:r w:rsidR="008C2DEF">
        <w:rPr>
          <w:rFonts w:cstheme="minorHAnsi"/>
          <w:sz w:val="24"/>
          <w:szCs w:val="24"/>
        </w:rPr>
        <w:t>action, with visibility provided to the relevant Director</w:t>
      </w:r>
      <w:r w:rsidRPr="00236283">
        <w:rPr>
          <w:rFonts w:cstheme="minorHAnsi"/>
          <w:sz w:val="24"/>
          <w:szCs w:val="24"/>
        </w:rPr>
        <w:t>:</w:t>
      </w:r>
    </w:p>
    <w:p w14:paraId="70B16933" w14:textId="77777777" w:rsidR="008C2DEF" w:rsidRPr="00EC77E1" w:rsidRDefault="00B053B8" w:rsidP="008C2DEF">
      <w:pPr>
        <w:pStyle w:val="ListParagraph"/>
        <w:numPr>
          <w:ilvl w:val="0"/>
          <w:numId w:val="12"/>
        </w:numPr>
        <w:ind w:left="426" w:firstLine="0"/>
        <w:rPr>
          <w:rFonts w:cstheme="minorHAnsi"/>
          <w:sz w:val="24"/>
          <w:szCs w:val="24"/>
        </w:rPr>
      </w:pPr>
      <w:r w:rsidRPr="00EC77E1">
        <w:rPr>
          <w:rFonts w:cstheme="minorHAnsi"/>
          <w:sz w:val="24"/>
          <w:szCs w:val="24"/>
        </w:rPr>
        <w:t xml:space="preserve">Canberra Theatre Centre – </w:t>
      </w:r>
      <w:r w:rsidR="008C2DEF" w:rsidRPr="00EC77E1">
        <w:rPr>
          <w:rFonts w:cstheme="minorHAnsi"/>
          <w:sz w:val="24"/>
          <w:szCs w:val="24"/>
        </w:rPr>
        <w:t>Front of House Coordinator</w:t>
      </w:r>
    </w:p>
    <w:p w14:paraId="6F0AF9E5" w14:textId="77777777" w:rsidR="008C2DEF" w:rsidRPr="00EC77E1" w:rsidRDefault="00B053B8" w:rsidP="008C2DEF">
      <w:pPr>
        <w:pStyle w:val="ListParagraph"/>
        <w:numPr>
          <w:ilvl w:val="0"/>
          <w:numId w:val="12"/>
        </w:numPr>
        <w:ind w:left="426" w:firstLine="0"/>
        <w:rPr>
          <w:rFonts w:cstheme="minorHAnsi"/>
          <w:sz w:val="24"/>
          <w:szCs w:val="24"/>
        </w:rPr>
      </w:pPr>
      <w:r w:rsidRPr="00EC77E1">
        <w:rPr>
          <w:rFonts w:cstheme="minorHAnsi"/>
          <w:sz w:val="24"/>
          <w:szCs w:val="24"/>
        </w:rPr>
        <w:t xml:space="preserve">CMAG – </w:t>
      </w:r>
      <w:r w:rsidR="008C2DEF" w:rsidRPr="00EC77E1">
        <w:rPr>
          <w:rFonts w:cstheme="minorHAnsi"/>
          <w:sz w:val="24"/>
          <w:szCs w:val="24"/>
        </w:rPr>
        <w:t>Front of House Coordinator</w:t>
      </w:r>
    </w:p>
    <w:p w14:paraId="083C5104" w14:textId="77777777" w:rsidR="008C2DEF" w:rsidRPr="00EC77E1" w:rsidRDefault="00B053B8" w:rsidP="008C2DEF">
      <w:pPr>
        <w:pStyle w:val="ListParagraph"/>
        <w:numPr>
          <w:ilvl w:val="0"/>
          <w:numId w:val="12"/>
        </w:numPr>
        <w:ind w:left="426" w:firstLine="0"/>
        <w:rPr>
          <w:rFonts w:cstheme="minorHAnsi"/>
          <w:sz w:val="24"/>
          <w:szCs w:val="24"/>
        </w:rPr>
      </w:pPr>
      <w:r w:rsidRPr="00EC77E1">
        <w:rPr>
          <w:rFonts w:cstheme="minorHAnsi"/>
          <w:sz w:val="24"/>
          <w:szCs w:val="24"/>
        </w:rPr>
        <w:t xml:space="preserve">ACT Historic Places – </w:t>
      </w:r>
      <w:r w:rsidR="008C2DEF" w:rsidRPr="00EC77E1">
        <w:rPr>
          <w:rFonts w:cstheme="minorHAnsi"/>
          <w:sz w:val="24"/>
          <w:szCs w:val="24"/>
        </w:rPr>
        <w:t>Front of House Coordinator</w:t>
      </w:r>
    </w:p>
    <w:p w14:paraId="290DFDBE" w14:textId="51FA15A9" w:rsidR="00B053B8" w:rsidRDefault="00B053B8" w:rsidP="008C2DEF">
      <w:pPr>
        <w:pStyle w:val="ListParagraph"/>
        <w:numPr>
          <w:ilvl w:val="0"/>
          <w:numId w:val="13"/>
        </w:numPr>
        <w:ind w:left="426" w:firstLine="0"/>
        <w:rPr>
          <w:rFonts w:cstheme="minorHAnsi"/>
          <w:sz w:val="24"/>
          <w:szCs w:val="24"/>
        </w:rPr>
      </w:pPr>
      <w:r w:rsidRPr="00EC77E1">
        <w:rPr>
          <w:rFonts w:cstheme="minorHAnsi"/>
          <w:sz w:val="24"/>
          <w:szCs w:val="24"/>
        </w:rPr>
        <w:t>Corporate Office – C</w:t>
      </w:r>
      <w:r w:rsidR="008C2DEF">
        <w:rPr>
          <w:rFonts w:cstheme="minorHAnsi"/>
          <w:sz w:val="24"/>
          <w:szCs w:val="24"/>
        </w:rPr>
        <w:t>orporate Officer</w:t>
      </w:r>
    </w:p>
    <w:p w14:paraId="0732567D" w14:textId="77777777" w:rsidR="00236283" w:rsidRPr="00EC77E1" w:rsidRDefault="00236283" w:rsidP="00236283">
      <w:pPr>
        <w:pStyle w:val="ListParagraph"/>
        <w:rPr>
          <w:rFonts w:cstheme="minorHAnsi"/>
          <w:sz w:val="24"/>
          <w:szCs w:val="24"/>
        </w:rPr>
      </w:pPr>
    </w:p>
    <w:p w14:paraId="59F84883" w14:textId="77FEC6F3" w:rsidR="00B053B8" w:rsidRPr="00236283" w:rsidRDefault="00DF73A3" w:rsidP="00236283">
      <w:pPr>
        <w:pStyle w:val="ListParagraph"/>
        <w:numPr>
          <w:ilvl w:val="0"/>
          <w:numId w:val="14"/>
        </w:numPr>
        <w:ind w:left="426" w:hanging="426"/>
        <w:rPr>
          <w:rFonts w:cstheme="minorHAnsi"/>
          <w:sz w:val="24"/>
          <w:szCs w:val="24"/>
        </w:rPr>
      </w:pPr>
      <w:r w:rsidRPr="00236283">
        <w:rPr>
          <w:rFonts w:cstheme="minorHAnsi"/>
          <w:sz w:val="24"/>
          <w:szCs w:val="24"/>
        </w:rPr>
        <w:t xml:space="preserve">The responsible officer will determine the most appropriate course of action, in consultation with relevant staff. </w:t>
      </w:r>
    </w:p>
    <w:tbl>
      <w:tblPr>
        <w:tblStyle w:val="TableGrid"/>
        <w:tblW w:w="9776" w:type="dxa"/>
        <w:tblLook w:val="04A0" w:firstRow="1" w:lastRow="0" w:firstColumn="1" w:lastColumn="0" w:noHBand="0" w:noVBand="1"/>
      </w:tblPr>
      <w:tblGrid>
        <w:gridCol w:w="420"/>
        <w:gridCol w:w="4111"/>
        <w:gridCol w:w="1418"/>
        <w:gridCol w:w="1701"/>
        <w:gridCol w:w="2126"/>
      </w:tblGrid>
      <w:tr w:rsidR="00236283" w:rsidRPr="00DF73A3" w14:paraId="658E81D0" w14:textId="77777777" w:rsidTr="00665322">
        <w:tc>
          <w:tcPr>
            <w:tcW w:w="420" w:type="dxa"/>
          </w:tcPr>
          <w:p w14:paraId="322C0857" w14:textId="77777777" w:rsidR="00236283" w:rsidRPr="00DF73A3" w:rsidRDefault="00236283" w:rsidP="00C12204">
            <w:pPr>
              <w:rPr>
                <w:rFonts w:cstheme="minorHAnsi"/>
                <w:b/>
                <w:bCs/>
                <w:sz w:val="24"/>
                <w:szCs w:val="24"/>
                <w:lang w:val="fr-FR"/>
              </w:rPr>
            </w:pPr>
          </w:p>
        </w:tc>
        <w:tc>
          <w:tcPr>
            <w:tcW w:w="4111" w:type="dxa"/>
          </w:tcPr>
          <w:p w14:paraId="68A78BB9" w14:textId="0F00F10C" w:rsidR="00236283" w:rsidRPr="00DF73A3" w:rsidRDefault="00236283" w:rsidP="00C12204">
            <w:pPr>
              <w:rPr>
                <w:rFonts w:asciiTheme="minorHAnsi" w:hAnsiTheme="minorHAnsi" w:cstheme="minorHAnsi"/>
                <w:b/>
                <w:bCs/>
                <w:sz w:val="24"/>
                <w:szCs w:val="24"/>
                <w:lang w:val="fr-FR"/>
              </w:rPr>
            </w:pPr>
            <w:r w:rsidRPr="00DF73A3">
              <w:rPr>
                <w:rFonts w:asciiTheme="minorHAnsi" w:hAnsiTheme="minorHAnsi" w:cstheme="minorHAnsi"/>
                <w:b/>
                <w:bCs/>
                <w:sz w:val="24"/>
                <w:szCs w:val="24"/>
                <w:lang w:val="fr-FR"/>
              </w:rPr>
              <w:t>C</w:t>
            </w:r>
            <w:r>
              <w:rPr>
                <w:rFonts w:asciiTheme="minorHAnsi" w:hAnsiTheme="minorHAnsi" w:cstheme="minorHAnsi"/>
                <w:b/>
                <w:bCs/>
                <w:sz w:val="24"/>
                <w:szCs w:val="24"/>
                <w:lang w:val="fr-FR"/>
              </w:rPr>
              <w:t xml:space="preserve">anberra </w:t>
            </w:r>
            <w:r w:rsidRPr="00DF73A3">
              <w:rPr>
                <w:rFonts w:asciiTheme="minorHAnsi" w:hAnsiTheme="minorHAnsi" w:cstheme="minorHAnsi"/>
                <w:b/>
                <w:bCs/>
                <w:sz w:val="24"/>
                <w:szCs w:val="24"/>
                <w:lang w:val="fr-FR"/>
              </w:rPr>
              <w:t>T</w:t>
            </w:r>
            <w:r>
              <w:rPr>
                <w:rFonts w:asciiTheme="minorHAnsi" w:hAnsiTheme="minorHAnsi" w:cstheme="minorHAnsi"/>
                <w:b/>
                <w:bCs/>
                <w:sz w:val="24"/>
                <w:szCs w:val="24"/>
                <w:lang w:val="fr-FR"/>
              </w:rPr>
              <w:t xml:space="preserve">heatre </w:t>
            </w:r>
            <w:r w:rsidRPr="00DF73A3">
              <w:rPr>
                <w:rFonts w:asciiTheme="minorHAnsi" w:hAnsiTheme="minorHAnsi" w:cstheme="minorHAnsi"/>
                <w:b/>
                <w:bCs/>
                <w:sz w:val="24"/>
                <w:szCs w:val="24"/>
                <w:lang w:val="fr-FR"/>
              </w:rPr>
              <w:t>C</w:t>
            </w:r>
            <w:r>
              <w:rPr>
                <w:rFonts w:asciiTheme="minorHAnsi" w:hAnsiTheme="minorHAnsi" w:cstheme="minorHAnsi"/>
                <w:b/>
                <w:bCs/>
                <w:sz w:val="24"/>
                <w:szCs w:val="24"/>
                <w:lang w:val="fr-FR"/>
              </w:rPr>
              <w:t>entre</w:t>
            </w:r>
          </w:p>
        </w:tc>
        <w:tc>
          <w:tcPr>
            <w:tcW w:w="1418" w:type="dxa"/>
          </w:tcPr>
          <w:p w14:paraId="7EA82E37" w14:textId="77777777" w:rsidR="00236283" w:rsidRPr="00DF73A3" w:rsidRDefault="00236283" w:rsidP="00C12204">
            <w:pPr>
              <w:rPr>
                <w:rFonts w:asciiTheme="minorHAnsi" w:hAnsiTheme="minorHAnsi" w:cstheme="minorHAnsi"/>
                <w:b/>
                <w:bCs/>
                <w:sz w:val="24"/>
                <w:szCs w:val="24"/>
                <w:lang w:val="fr-FR"/>
              </w:rPr>
            </w:pPr>
            <w:r w:rsidRPr="00DF73A3">
              <w:rPr>
                <w:rFonts w:asciiTheme="minorHAnsi" w:hAnsiTheme="minorHAnsi" w:cstheme="minorHAnsi"/>
                <w:b/>
                <w:bCs/>
                <w:sz w:val="24"/>
                <w:szCs w:val="24"/>
                <w:lang w:val="fr-FR"/>
              </w:rPr>
              <w:t>CMAG</w:t>
            </w:r>
          </w:p>
        </w:tc>
        <w:tc>
          <w:tcPr>
            <w:tcW w:w="1701" w:type="dxa"/>
          </w:tcPr>
          <w:p w14:paraId="1501F768" w14:textId="34EF1296" w:rsidR="00236283" w:rsidRPr="00DF73A3" w:rsidRDefault="00A33570" w:rsidP="00C12204">
            <w:pPr>
              <w:rPr>
                <w:rFonts w:asciiTheme="minorHAnsi" w:hAnsiTheme="minorHAnsi" w:cstheme="minorHAnsi"/>
                <w:b/>
                <w:bCs/>
                <w:sz w:val="24"/>
                <w:szCs w:val="24"/>
                <w:lang w:val="fr-FR"/>
              </w:rPr>
            </w:pPr>
            <w:r>
              <w:rPr>
                <w:rFonts w:asciiTheme="minorHAnsi" w:hAnsiTheme="minorHAnsi" w:cstheme="minorHAnsi"/>
                <w:b/>
                <w:bCs/>
                <w:sz w:val="24"/>
                <w:szCs w:val="24"/>
                <w:lang w:val="fr-FR"/>
              </w:rPr>
              <w:t xml:space="preserve">ACT </w:t>
            </w:r>
            <w:r w:rsidR="00236283" w:rsidRPr="00DF73A3">
              <w:rPr>
                <w:rFonts w:asciiTheme="minorHAnsi" w:hAnsiTheme="minorHAnsi" w:cstheme="minorHAnsi"/>
                <w:b/>
                <w:bCs/>
                <w:sz w:val="24"/>
                <w:szCs w:val="24"/>
                <w:lang w:val="fr-FR"/>
              </w:rPr>
              <w:t>H</w:t>
            </w:r>
            <w:r w:rsidR="00236283">
              <w:rPr>
                <w:rFonts w:asciiTheme="minorHAnsi" w:hAnsiTheme="minorHAnsi" w:cstheme="minorHAnsi"/>
                <w:b/>
                <w:bCs/>
                <w:sz w:val="24"/>
                <w:szCs w:val="24"/>
                <w:lang w:val="fr-FR"/>
              </w:rPr>
              <w:t xml:space="preserve">istoric </w:t>
            </w:r>
            <w:r w:rsidR="00236283" w:rsidRPr="00DF73A3">
              <w:rPr>
                <w:rFonts w:asciiTheme="minorHAnsi" w:hAnsiTheme="minorHAnsi" w:cstheme="minorHAnsi"/>
                <w:b/>
                <w:bCs/>
                <w:sz w:val="24"/>
                <w:szCs w:val="24"/>
                <w:lang w:val="fr-FR"/>
              </w:rPr>
              <w:t>P</w:t>
            </w:r>
            <w:r w:rsidR="00236283">
              <w:rPr>
                <w:rFonts w:asciiTheme="minorHAnsi" w:hAnsiTheme="minorHAnsi" w:cstheme="minorHAnsi"/>
                <w:b/>
                <w:bCs/>
                <w:sz w:val="24"/>
                <w:szCs w:val="24"/>
                <w:lang w:val="fr-FR"/>
              </w:rPr>
              <w:t>laces</w:t>
            </w:r>
          </w:p>
        </w:tc>
        <w:tc>
          <w:tcPr>
            <w:tcW w:w="2126" w:type="dxa"/>
          </w:tcPr>
          <w:p w14:paraId="077D1B57" w14:textId="2BB6DFA8" w:rsidR="00236283" w:rsidRPr="00DF73A3" w:rsidRDefault="00236283" w:rsidP="00C12204">
            <w:pPr>
              <w:rPr>
                <w:rFonts w:asciiTheme="minorHAnsi" w:hAnsiTheme="minorHAnsi" w:cstheme="minorHAnsi"/>
                <w:b/>
                <w:bCs/>
                <w:sz w:val="24"/>
                <w:szCs w:val="24"/>
                <w:lang w:val="fr-FR"/>
              </w:rPr>
            </w:pPr>
            <w:proofErr w:type="spellStart"/>
            <w:r w:rsidRPr="00DF73A3">
              <w:rPr>
                <w:rFonts w:asciiTheme="minorHAnsi" w:hAnsiTheme="minorHAnsi" w:cstheme="minorHAnsi"/>
                <w:b/>
                <w:bCs/>
                <w:sz w:val="24"/>
                <w:szCs w:val="24"/>
                <w:lang w:val="fr-FR"/>
              </w:rPr>
              <w:t>Corp</w:t>
            </w:r>
            <w:r>
              <w:rPr>
                <w:rFonts w:asciiTheme="minorHAnsi" w:hAnsiTheme="minorHAnsi" w:cstheme="minorHAnsi"/>
                <w:b/>
                <w:bCs/>
                <w:sz w:val="24"/>
                <w:szCs w:val="24"/>
                <w:lang w:val="fr-FR"/>
              </w:rPr>
              <w:t>orate</w:t>
            </w:r>
            <w:proofErr w:type="spellEnd"/>
            <w:r w:rsidRPr="00DF73A3">
              <w:rPr>
                <w:rFonts w:asciiTheme="minorHAnsi" w:hAnsiTheme="minorHAnsi" w:cstheme="minorHAnsi"/>
                <w:b/>
                <w:bCs/>
                <w:sz w:val="24"/>
                <w:szCs w:val="24"/>
                <w:lang w:val="fr-FR"/>
              </w:rPr>
              <w:t xml:space="preserve"> Office</w:t>
            </w:r>
          </w:p>
        </w:tc>
      </w:tr>
      <w:tr w:rsidR="00236283" w14:paraId="47789B54" w14:textId="77777777" w:rsidTr="00665322">
        <w:tc>
          <w:tcPr>
            <w:tcW w:w="420" w:type="dxa"/>
          </w:tcPr>
          <w:p w14:paraId="290DCD76" w14:textId="642BD74A" w:rsidR="00236283" w:rsidRPr="00024A45" w:rsidRDefault="00236283" w:rsidP="00C12204">
            <w:pPr>
              <w:rPr>
                <w:rFonts w:cstheme="minorHAnsi"/>
                <w:sz w:val="24"/>
                <w:szCs w:val="24"/>
              </w:rPr>
            </w:pPr>
            <w:r>
              <w:rPr>
                <w:rFonts w:cstheme="minorHAnsi"/>
                <w:sz w:val="24"/>
                <w:szCs w:val="24"/>
              </w:rPr>
              <w:t>3.</w:t>
            </w:r>
          </w:p>
        </w:tc>
        <w:tc>
          <w:tcPr>
            <w:tcW w:w="4111" w:type="dxa"/>
          </w:tcPr>
          <w:p w14:paraId="27170505" w14:textId="6D5E8331" w:rsidR="00236283" w:rsidRPr="00024A45" w:rsidRDefault="008C2DEF" w:rsidP="00C12204">
            <w:pPr>
              <w:rPr>
                <w:rFonts w:asciiTheme="minorHAnsi" w:hAnsiTheme="minorHAnsi" w:cstheme="minorHAnsi"/>
                <w:sz w:val="24"/>
                <w:szCs w:val="24"/>
                <w:lang w:val="fr-FR"/>
              </w:rPr>
            </w:pPr>
            <w:r>
              <w:rPr>
                <w:rFonts w:asciiTheme="minorHAnsi" w:hAnsiTheme="minorHAnsi" w:cstheme="minorHAnsi"/>
                <w:sz w:val="24"/>
                <w:szCs w:val="24"/>
              </w:rPr>
              <w:t xml:space="preserve">Responsible officer </w:t>
            </w:r>
            <w:r w:rsidR="00236283" w:rsidRPr="00024A45">
              <w:rPr>
                <w:rFonts w:asciiTheme="minorHAnsi" w:hAnsiTheme="minorHAnsi" w:cstheme="minorHAnsi"/>
                <w:sz w:val="24"/>
                <w:szCs w:val="24"/>
              </w:rPr>
              <w:t>will request the most relevant Manager to follow-up and contact the complainant to discuss their feedback, and where necessary to offer a resolution in line with Live Performance Australia (LPA) guidelines.</w:t>
            </w:r>
            <w:r w:rsidR="00236283" w:rsidRPr="00024A45">
              <w:rPr>
                <w:rFonts w:asciiTheme="minorHAnsi" w:hAnsiTheme="minorHAnsi" w:cstheme="minorHAnsi"/>
                <w:sz w:val="24"/>
                <w:szCs w:val="24"/>
              </w:rPr>
              <w:br/>
            </w:r>
          </w:p>
        </w:tc>
        <w:tc>
          <w:tcPr>
            <w:tcW w:w="5245" w:type="dxa"/>
            <w:gridSpan w:val="3"/>
          </w:tcPr>
          <w:p w14:paraId="325E60C2" w14:textId="77777777" w:rsidR="00236283" w:rsidRDefault="00236283" w:rsidP="00DF73A3">
            <w:pPr>
              <w:rPr>
                <w:rFonts w:asciiTheme="minorHAnsi" w:hAnsiTheme="minorHAnsi" w:cstheme="minorHAnsi"/>
                <w:sz w:val="24"/>
                <w:szCs w:val="24"/>
              </w:rPr>
            </w:pPr>
            <w:r w:rsidRPr="00024A45">
              <w:rPr>
                <w:rFonts w:asciiTheme="minorHAnsi" w:hAnsiTheme="minorHAnsi" w:cstheme="minorHAnsi"/>
                <w:sz w:val="24"/>
                <w:szCs w:val="24"/>
              </w:rPr>
              <w:t xml:space="preserve">Information is sought from relevant staff to investigate the incident, and to determine whether a response to the complainant is necessary.  </w:t>
            </w:r>
          </w:p>
          <w:p w14:paraId="67F89BA9" w14:textId="77777777" w:rsidR="00236283" w:rsidRPr="00024A45" w:rsidRDefault="00236283" w:rsidP="00C12204">
            <w:pPr>
              <w:rPr>
                <w:rFonts w:asciiTheme="minorHAnsi" w:hAnsiTheme="minorHAnsi" w:cstheme="minorHAnsi"/>
                <w:sz w:val="24"/>
                <w:szCs w:val="24"/>
                <w:lang w:val="fr-FR"/>
              </w:rPr>
            </w:pPr>
          </w:p>
        </w:tc>
      </w:tr>
      <w:tr w:rsidR="00236283" w14:paraId="21E76779" w14:textId="77777777" w:rsidTr="00665322">
        <w:tc>
          <w:tcPr>
            <w:tcW w:w="420" w:type="dxa"/>
          </w:tcPr>
          <w:p w14:paraId="57826945" w14:textId="6ED7FBE9" w:rsidR="00236283" w:rsidRPr="00024A45" w:rsidRDefault="00236283" w:rsidP="00C12204">
            <w:pPr>
              <w:rPr>
                <w:rFonts w:cstheme="minorHAnsi"/>
                <w:sz w:val="24"/>
                <w:szCs w:val="24"/>
              </w:rPr>
            </w:pPr>
            <w:r>
              <w:rPr>
                <w:rFonts w:cstheme="minorHAnsi"/>
                <w:sz w:val="24"/>
                <w:szCs w:val="24"/>
              </w:rPr>
              <w:t>4.</w:t>
            </w:r>
          </w:p>
        </w:tc>
        <w:tc>
          <w:tcPr>
            <w:tcW w:w="4111" w:type="dxa"/>
          </w:tcPr>
          <w:p w14:paraId="78EBC5CC" w14:textId="118FDF9E" w:rsidR="00236283" w:rsidRPr="00024A45" w:rsidRDefault="00236283" w:rsidP="00C12204">
            <w:pPr>
              <w:rPr>
                <w:rFonts w:asciiTheme="minorHAnsi" w:hAnsiTheme="minorHAnsi" w:cstheme="minorHAnsi"/>
                <w:sz w:val="24"/>
                <w:szCs w:val="24"/>
              </w:rPr>
            </w:pPr>
            <w:r w:rsidRPr="00024A45">
              <w:rPr>
                <w:rFonts w:asciiTheme="minorHAnsi" w:hAnsiTheme="minorHAnsi" w:cstheme="minorHAnsi"/>
                <w:sz w:val="24"/>
                <w:szCs w:val="24"/>
              </w:rPr>
              <w:t>In the event that the matter cannot be resolved, this must be stated.  The relevant Manager, in conjunction with the Director are to refer the matter to the LPA Complaints Officer in line with the LPA Complaints Handling and Dispute Resolution Policy.</w:t>
            </w:r>
          </w:p>
          <w:p w14:paraId="08100C9D" w14:textId="77777777" w:rsidR="00236283" w:rsidRPr="00024A45" w:rsidRDefault="00236283" w:rsidP="00C12204">
            <w:pPr>
              <w:rPr>
                <w:rFonts w:asciiTheme="minorHAnsi" w:hAnsiTheme="minorHAnsi" w:cstheme="minorHAnsi"/>
                <w:sz w:val="24"/>
                <w:szCs w:val="24"/>
                <w:lang w:val="fr-FR"/>
              </w:rPr>
            </w:pPr>
          </w:p>
        </w:tc>
        <w:tc>
          <w:tcPr>
            <w:tcW w:w="3119" w:type="dxa"/>
            <w:gridSpan w:val="2"/>
          </w:tcPr>
          <w:p w14:paraId="0DB17EBA" w14:textId="6C9D9BEA" w:rsidR="00236283" w:rsidRPr="00024A45" w:rsidRDefault="00236283" w:rsidP="00C12204">
            <w:pPr>
              <w:rPr>
                <w:rFonts w:asciiTheme="minorHAnsi" w:hAnsiTheme="minorHAnsi" w:cstheme="minorHAnsi"/>
                <w:sz w:val="24"/>
                <w:szCs w:val="24"/>
              </w:rPr>
            </w:pPr>
            <w:r>
              <w:rPr>
                <w:rFonts w:asciiTheme="minorHAnsi" w:hAnsiTheme="minorHAnsi" w:cstheme="minorHAnsi"/>
                <w:sz w:val="24"/>
                <w:szCs w:val="24"/>
              </w:rPr>
              <w:t>A r</w:t>
            </w:r>
            <w:r w:rsidRPr="00024A45">
              <w:rPr>
                <w:rFonts w:asciiTheme="minorHAnsi" w:hAnsiTheme="minorHAnsi" w:cstheme="minorHAnsi"/>
                <w:sz w:val="24"/>
                <w:szCs w:val="24"/>
              </w:rPr>
              <w:t>esponse may not be needed in circumstances such as minor complaints that are made verbally to staff, where the visitor indicates they do not need a response</w:t>
            </w:r>
            <w:r>
              <w:rPr>
                <w:rFonts w:asciiTheme="minorHAnsi" w:hAnsiTheme="minorHAnsi" w:cstheme="minorHAnsi"/>
                <w:sz w:val="24"/>
                <w:szCs w:val="24"/>
              </w:rPr>
              <w:t>,</w:t>
            </w:r>
            <w:r w:rsidRPr="00024A45">
              <w:rPr>
                <w:rFonts w:asciiTheme="minorHAnsi" w:hAnsiTheme="minorHAnsi" w:cstheme="minorHAnsi"/>
                <w:sz w:val="24"/>
                <w:szCs w:val="24"/>
              </w:rPr>
              <w:t xml:space="preserve"> and comments made on </w:t>
            </w:r>
            <w:r>
              <w:rPr>
                <w:rFonts w:asciiTheme="minorHAnsi" w:hAnsiTheme="minorHAnsi" w:cstheme="minorHAnsi"/>
                <w:sz w:val="24"/>
                <w:szCs w:val="24"/>
              </w:rPr>
              <w:t>a</w:t>
            </w:r>
            <w:r w:rsidRPr="00024A45">
              <w:rPr>
                <w:rFonts w:asciiTheme="minorHAnsi" w:hAnsiTheme="minorHAnsi" w:cstheme="minorHAnsi"/>
                <w:sz w:val="24"/>
                <w:szCs w:val="24"/>
              </w:rPr>
              <w:t xml:space="preserve"> visitor survey or in the visitor’s book where there is no return address listed.</w:t>
            </w:r>
          </w:p>
          <w:p w14:paraId="6D576A47" w14:textId="77777777" w:rsidR="00236283" w:rsidRPr="00024A45" w:rsidRDefault="00236283" w:rsidP="00C12204">
            <w:pPr>
              <w:rPr>
                <w:rFonts w:asciiTheme="minorHAnsi" w:hAnsiTheme="minorHAnsi" w:cstheme="minorHAnsi"/>
                <w:sz w:val="24"/>
                <w:szCs w:val="24"/>
                <w:lang w:val="fr-FR"/>
              </w:rPr>
            </w:pPr>
          </w:p>
        </w:tc>
        <w:tc>
          <w:tcPr>
            <w:tcW w:w="2126" w:type="dxa"/>
          </w:tcPr>
          <w:p w14:paraId="4D951549" w14:textId="05B01627" w:rsidR="00236283" w:rsidRPr="00024A45" w:rsidRDefault="00236283" w:rsidP="00C12204">
            <w:pPr>
              <w:rPr>
                <w:rFonts w:asciiTheme="minorHAnsi" w:hAnsiTheme="minorHAnsi" w:cstheme="minorHAnsi"/>
                <w:sz w:val="24"/>
                <w:szCs w:val="24"/>
              </w:rPr>
            </w:pPr>
            <w:r>
              <w:rPr>
                <w:rFonts w:asciiTheme="minorHAnsi" w:hAnsiTheme="minorHAnsi" w:cstheme="minorHAnsi"/>
                <w:sz w:val="24"/>
                <w:szCs w:val="24"/>
              </w:rPr>
              <w:t>A r</w:t>
            </w:r>
            <w:r w:rsidRPr="00024A45">
              <w:rPr>
                <w:rFonts w:asciiTheme="minorHAnsi" w:hAnsiTheme="minorHAnsi" w:cstheme="minorHAnsi"/>
                <w:sz w:val="24"/>
                <w:szCs w:val="24"/>
              </w:rPr>
              <w:t>espons</w:t>
            </w:r>
            <w:r>
              <w:rPr>
                <w:rFonts w:asciiTheme="minorHAnsi" w:hAnsiTheme="minorHAnsi" w:cstheme="minorHAnsi"/>
                <w:sz w:val="24"/>
                <w:szCs w:val="24"/>
              </w:rPr>
              <w:t>e</w:t>
            </w:r>
            <w:r w:rsidRPr="00024A45">
              <w:rPr>
                <w:rFonts w:asciiTheme="minorHAnsi" w:hAnsiTheme="minorHAnsi" w:cstheme="minorHAnsi"/>
                <w:sz w:val="24"/>
                <w:szCs w:val="24"/>
              </w:rPr>
              <w:t xml:space="preserve"> may not be needed in circumstances such as</w:t>
            </w:r>
            <w:r>
              <w:rPr>
                <w:rFonts w:asciiTheme="minorHAnsi" w:hAnsiTheme="minorHAnsi" w:cstheme="minorHAnsi"/>
                <w:sz w:val="24"/>
                <w:szCs w:val="24"/>
              </w:rPr>
              <w:t xml:space="preserve"> </w:t>
            </w:r>
            <w:r w:rsidRPr="00024A45">
              <w:rPr>
                <w:rFonts w:asciiTheme="minorHAnsi" w:hAnsiTheme="minorHAnsi" w:cstheme="minorHAnsi"/>
                <w:sz w:val="24"/>
                <w:szCs w:val="24"/>
              </w:rPr>
              <w:t>minor complaints that are made verbally to staff, where it was indicated they do not need a response.</w:t>
            </w:r>
          </w:p>
          <w:p w14:paraId="6B5E7625" w14:textId="77777777" w:rsidR="00236283" w:rsidRPr="00024A45" w:rsidRDefault="00236283" w:rsidP="00C12204">
            <w:pPr>
              <w:rPr>
                <w:rFonts w:asciiTheme="minorHAnsi" w:hAnsiTheme="minorHAnsi" w:cstheme="minorHAnsi"/>
                <w:sz w:val="24"/>
                <w:szCs w:val="24"/>
                <w:lang w:val="fr-FR"/>
              </w:rPr>
            </w:pPr>
          </w:p>
        </w:tc>
      </w:tr>
      <w:tr w:rsidR="00236283" w14:paraId="468463EC" w14:textId="77777777" w:rsidTr="00665322">
        <w:tc>
          <w:tcPr>
            <w:tcW w:w="420" w:type="dxa"/>
          </w:tcPr>
          <w:p w14:paraId="36DF1FE1" w14:textId="55ADDFBA" w:rsidR="00236283" w:rsidRPr="00024A45" w:rsidRDefault="00236283" w:rsidP="00C12204">
            <w:pPr>
              <w:rPr>
                <w:rFonts w:cstheme="minorHAnsi"/>
                <w:sz w:val="24"/>
                <w:szCs w:val="24"/>
              </w:rPr>
            </w:pPr>
            <w:r>
              <w:rPr>
                <w:rFonts w:cstheme="minorHAnsi"/>
                <w:sz w:val="24"/>
                <w:szCs w:val="24"/>
              </w:rPr>
              <w:t>5.</w:t>
            </w:r>
          </w:p>
        </w:tc>
        <w:tc>
          <w:tcPr>
            <w:tcW w:w="4111" w:type="dxa"/>
          </w:tcPr>
          <w:p w14:paraId="45795483" w14:textId="3E79F8E6" w:rsidR="00236283" w:rsidRPr="00024A45" w:rsidRDefault="00236283" w:rsidP="00C12204">
            <w:pPr>
              <w:rPr>
                <w:rFonts w:asciiTheme="minorHAnsi" w:hAnsiTheme="minorHAnsi" w:cstheme="minorHAnsi"/>
                <w:sz w:val="24"/>
                <w:szCs w:val="24"/>
                <w:lang w:val="fr-FR"/>
              </w:rPr>
            </w:pPr>
            <w:r w:rsidRPr="00024A45">
              <w:rPr>
                <w:rFonts w:asciiTheme="minorHAnsi" w:hAnsiTheme="minorHAnsi" w:cstheme="minorHAnsi"/>
                <w:sz w:val="24"/>
                <w:szCs w:val="24"/>
              </w:rPr>
              <w:t>In the event that feedback is received in the form of a complaint immediately before, during or immediately after a performance or during the ticket buying process, all efforts must be made to resolve the complaint at that time in a manner that will comply with LPA guidelines. </w:t>
            </w:r>
          </w:p>
        </w:tc>
        <w:tc>
          <w:tcPr>
            <w:tcW w:w="5245" w:type="dxa"/>
            <w:gridSpan w:val="3"/>
          </w:tcPr>
          <w:p w14:paraId="200EF51F" w14:textId="23F506D5" w:rsidR="00236283" w:rsidRPr="00024A45" w:rsidRDefault="00236283" w:rsidP="00C12204">
            <w:pPr>
              <w:rPr>
                <w:rFonts w:asciiTheme="minorHAnsi" w:hAnsiTheme="minorHAnsi" w:cstheme="minorHAnsi"/>
                <w:sz w:val="24"/>
                <w:szCs w:val="24"/>
              </w:rPr>
            </w:pPr>
            <w:r w:rsidRPr="00024A45">
              <w:rPr>
                <w:rFonts w:asciiTheme="minorHAnsi" w:hAnsiTheme="minorHAnsi" w:cstheme="minorHAnsi"/>
                <w:sz w:val="24"/>
                <w:szCs w:val="24"/>
              </w:rPr>
              <w:t xml:space="preserve">If deemed necessary, a response to the complainant will be provided by the </w:t>
            </w:r>
            <w:r w:rsidR="000B5FCC">
              <w:rPr>
                <w:rFonts w:asciiTheme="minorHAnsi" w:hAnsiTheme="minorHAnsi" w:cstheme="minorHAnsi"/>
                <w:sz w:val="24"/>
                <w:szCs w:val="24"/>
              </w:rPr>
              <w:t>responsible officer</w:t>
            </w:r>
            <w:r w:rsidRPr="00024A45">
              <w:rPr>
                <w:rFonts w:asciiTheme="minorHAnsi" w:hAnsiTheme="minorHAnsi" w:cstheme="minorHAnsi"/>
                <w:sz w:val="24"/>
                <w:szCs w:val="24"/>
              </w:rPr>
              <w:t>, which will include details of any further resolution if needed.</w:t>
            </w:r>
          </w:p>
          <w:p w14:paraId="0AADBEFB" w14:textId="77777777" w:rsidR="00236283" w:rsidRPr="00024A45" w:rsidRDefault="00236283" w:rsidP="00DF73A3">
            <w:pPr>
              <w:rPr>
                <w:rFonts w:asciiTheme="minorHAnsi" w:hAnsiTheme="minorHAnsi" w:cstheme="minorHAnsi"/>
                <w:sz w:val="24"/>
                <w:szCs w:val="24"/>
                <w:lang w:val="fr-FR"/>
              </w:rPr>
            </w:pPr>
          </w:p>
        </w:tc>
      </w:tr>
    </w:tbl>
    <w:p w14:paraId="5C259753" w14:textId="77777777" w:rsidR="00EC77E1" w:rsidRDefault="00EC77E1" w:rsidP="00EC77E1">
      <w:pPr>
        <w:rPr>
          <w:rFonts w:cstheme="minorHAnsi"/>
          <w:sz w:val="24"/>
          <w:szCs w:val="24"/>
        </w:rPr>
      </w:pPr>
    </w:p>
    <w:p w14:paraId="176F4C35" w14:textId="3751E75C" w:rsidR="00EC77E1" w:rsidRPr="00AA7A7E" w:rsidRDefault="00EC77E1" w:rsidP="00EC77E1">
      <w:pPr>
        <w:rPr>
          <w:rFonts w:cstheme="minorHAnsi"/>
          <w:sz w:val="24"/>
          <w:szCs w:val="24"/>
        </w:rPr>
      </w:pPr>
      <w:r w:rsidRPr="00AA7A7E">
        <w:rPr>
          <w:rFonts w:cstheme="minorHAnsi"/>
          <w:sz w:val="24"/>
          <w:szCs w:val="24"/>
        </w:rPr>
        <w:t>Our commitment to our complainants is genuine.  If we are unable to investigate your complaint, we will provide you with a written explanation of the grounds for not proceeding and outline any other options that may be available to you.</w:t>
      </w:r>
    </w:p>
    <w:p w14:paraId="23CB46F3" w14:textId="77777777" w:rsidR="00EC77E1" w:rsidRPr="00AA7A7E" w:rsidRDefault="00EC77E1" w:rsidP="00EC77E1">
      <w:pPr>
        <w:rPr>
          <w:rFonts w:cstheme="minorHAnsi"/>
          <w:sz w:val="24"/>
          <w:szCs w:val="24"/>
        </w:rPr>
      </w:pPr>
      <w:r w:rsidRPr="00AA7A7E">
        <w:rPr>
          <w:rFonts w:cstheme="minorHAnsi"/>
          <w:sz w:val="24"/>
          <w:szCs w:val="24"/>
        </w:rPr>
        <w:t>If you feel your complaint has not been addressed satisfactorily, the CFC can advise you on external avenues available such as contacting the ACT Ombudsman.</w:t>
      </w:r>
    </w:p>
    <w:p w14:paraId="23B6D03B" w14:textId="77777777" w:rsidR="00EC77E1" w:rsidRPr="00AA7A7E" w:rsidRDefault="00EC77E1" w:rsidP="00EC77E1">
      <w:pPr>
        <w:rPr>
          <w:rFonts w:cstheme="minorHAnsi"/>
          <w:sz w:val="24"/>
          <w:szCs w:val="24"/>
        </w:rPr>
      </w:pPr>
      <w:r w:rsidRPr="00AA7A7E">
        <w:rPr>
          <w:rFonts w:cstheme="minorHAnsi"/>
          <w:sz w:val="24"/>
          <w:szCs w:val="24"/>
        </w:rPr>
        <w:t>At the completion of the process, all correspondence and related documentation is filed on the Visitor complaints/correspondence file and added to the Complaints Register.</w:t>
      </w:r>
    </w:p>
    <w:p w14:paraId="375F3F8D" w14:textId="77777777" w:rsidR="00EC77E1" w:rsidRPr="00AA7A7E" w:rsidRDefault="00EC77E1" w:rsidP="00EC77E1">
      <w:pPr>
        <w:rPr>
          <w:rFonts w:cstheme="minorHAnsi"/>
          <w:sz w:val="24"/>
          <w:szCs w:val="24"/>
        </w:rPr>
      </w:pPr>
      <w:r w:rsidRPr="00AA7A7E">
        <w:rPr>
          <w:rFonts w:cstheme="minorHAnsi"/>
          <w:sz w:val="24"/>
          <w:szCs w:val="24"/>
        </w:rPr>
        <w:lastRenderedPageBreak/>
        <w:t xml:space="preserve">The responsible officers for this recording are: </w:t>
      </w:r>
    </w:p>
    <w:p w14:paraId="5C15CF13" w14:textId="77777777" w:rsidR="00EC77E1" w:rsidRPr="00EC77E1" w:rsidRDefault="00EC77E1" w:rsidP="00EC77E1">
      <w:pPr>
        <w:pStyle w:val="ListParagraph"/>
        <w:numPr>
          <w:ilvl w:val="0"/>
          <w:numId w:val="12"/>
        </w:numPr>
        <w:rPr>
          <w:rFonts w:cstheme="minorHAnsi"/>
          <w:sz w:val="24"/>
          <w:szCs w:val="24"/>
        </w:rPr>
      </w:pPr>
      <w:r w:rsidRPr="00EC77E1">
        <w:rPr>
          <w:rFonts w:cstheme="minorHAnsi"/>
          <w:sz w:val="24"/>
          <w:szCs w:val="24"/>
        </w:rPr>
        <w:t>Canberra Theatre Centre – Personal Assistant to the Centre Director</w:t>
      </w:r>
    </w:p>
    <w:p w14:paraId="4BB5F759" w14:textId="49017940" w:rsidR="00EC77E1" w:rsidRPr="00EC77E1" w:rsidRDefault="00EC77E1" w:rsidP="00EC77E1">
      <w:pPr>
        <w:pStyle w:val="ListParagraph"/>
        <w:numPr>
          <w:ilvl w:val="0"/>
          <w:numId w:val="12"/>
        </w:numPr>
        <w:rPr>
          <w:rFonts w:cstheme="minorHAnsi"/>
          <w:sz w:val="24"/>
          <w:szCs w:val="24"/>
        </w:rPr>
      </w:pPr>
      <w:r w:rsidRPr="00EC77E1">
        <w:rPr>
          <w:rFonts w:cstheme="minorHAnsi"/>
          <w:sz w:val="24"/>
          <w:szCs w:val="24"/>
        </w:rPr>
        <w:t xml:space="preserve">CMAG – </w:t>
      </w:r>
      <w:r w:rsidR="008C2DEF" w:rsidRPr="00EC77E1">
        <w:rPr>
          <w:rFonts w:cstheme="minorHAnsi"/>
          <w:sz w:val="24"/>
          <w:szCs w:val="24"/>
        </w:rPr>
        <w:t>Front of House Coordinator</w:t>
      </w:r>
    </w:p>
    <w:p w14:paraId="1EDEFD4E" w14:textId="77777777" w:rsidR="00EC77E1" w:rsidRPr="00EC77E1" w:rsidRDefault="00EC77E1" w:rsidP="00EC77E1">
      <w:pPr>
        <w:pStyle w:val="ListParagraph"/>
        <w:numPr>
          <w:ilvl w:val="0"/>
          <w:numId w:val="12"/>
        </w:numPr>
        <w:rPr>
          <w:rFonts w:cstheme="minorHAnsi"/>
          <w:sz w:val="24"/>
          <w:szCs w:val="24"/>
        </w:rPr>
      </w:pPr>
      <w:r w:rsidRPr="00EC77E1">
        <w:rPr>
          <w:rFonts w:cstheme="minorHAnsi"/>
          <w:sz w:val="24"/>
          <w:szCs w:val="24"/>
        </w:rPr>
        <w:t>ACT Historic Places – Front of House Coordinator</w:t>
      </w:r>
    </w:p>
    <w:p w14:paraId="6BA8695B" w14:textId="77777777" w:rsidR="00EC77E1" w:rsidRPr="00EC77E1" w:rsidRDefault="00EC77E1" w:rsidP="00EC77E1">
      <w:pPr>
        <w:pStyle w:val="ListParagraph"/>
        <w:numPr>
          <w:ilvl w:val="0"/>
          <w:numId w:val="12"/>
        </w:numPr>
        <w:rPr>
          <w:rFonts w:cstheme="minorHAnsi"/>
          <w:sz w:val="24"/>
          <w:szCs w:val="24"/>
        </w:rPr>
      </w:pPr>
      <w:r w:rsidRPr="00EC77E1">
        <w:rPr>
          <w:rFonts w:cstheme="minorHAnsi"/>
          <w:sz w:val="24"/>
          <w:szCs w:val="24"/>
        </w:rPr>
        <w:t>Corporate Finance – Corporate Officer</w:t>
      </w:r>
    </w:p>
    <w:p w14:paraId="1BAA049B" w14:textId="77777777" w:rsidR="00EC77E1" w:rsidRDefault="00EC77E1">
      <w:pPr>
        <w:rPr>
          <w:rFonts w:cstheme="minorHAnsi"/>
          <w:sz w:val="24"/>
          <w:szCs w:val="24"/>
        </w:rPr>
      </w:pPr>
    </w:p>
    <w:p w14:paraId="4A06EE63" w14:textId="3B8568CB" w:rsidR="00AA7A7E" w:rsidRPr="00BA6197" w:rsidRDefault="00AA7A7E" w:rsidP="00AA7A7E">
      <w:pPr>
        <w:rPr>
          <w:rFonts w:cstheme="minorHAnsi"/>
          <w:b/>
          <w:bCs/>
          <w:sz w:val="28"/>
          <w:szCs w:val="28"/>
        </w:rPr>
      </w:pPr>
      <w:r w:rsidRPr="00BA6197">
        <w:rPr>
          <w:rFonts w:cstheme="minorHAnsi"/>
          <w:b/>
          <w:bCs/>
          <w:sz w:val="28"/>
          <w:szCs w:val="28"/>
        </w:rPr>
        <w:t>Out of Scope</w:t>
      </w:r>
    </w:p>
    <w:p w14:paraId="06F437B7" w14:textId="77777777" w:rsidR="00AA7A7E" w:rsidRPr="00AA7A7E" w:rsidRDefault="00AA7A7E" w:rsidP="00AA7A7E">
      <w:pPr>
        <w:rPr>
          <w:rFonts w:cstheme="minorHAnsi"/>
          <w:sz w:val="24"/>
          <w:szCs w:val="24"/>
        </w:rPr>
      </w:pPr>
      <w:r w:rsidRPr="00AA7A7E">
        <w:rPr>
          <w:rFonts w:cstheme="minorHAnsi"/>
          <w:sz w:val="24"/>
          <w:szCs w:val="24"/>
        </w:rPr>
        <w:t xml:space="preserve">This policy applies to all complaints and/or concerns received from the public, except where other legislative or policy mechanisms apply.  This includes: </w:t>
      </w:r>
    </w:p>
    <w:p w14:paraId="620A2299" w14:textId="77777777" w:rsidR="00AA7A7E" w:rsidRPr="00BA6197" w:rsidRDefault="00AA7A7E" w:rsidP="00BA6197">
      <w:pPr>
        <w:pStyle w:val="ListParagraph"/>
        <w:numPr>
          <w:ilvl w:val="0"/>
          <w:numId w:val="1"/>
        </w:numPr>
        <w:rPr>
          <w:rFonts w:cstheme="minorHAnsi"/>
          <w:sz w:val="24"/>
          <w:szCs w:val="24"/>
        </w:rPr>
      </w:pPr>
      <w:r w:rsidRPr="00BA6197">
        <w:rPr>
          <w:rFonts w:cstheme="minorHAnsi"/>
          <w:sz w:val="24"/>
          <w:szCs w:val="24"/>
        </w:rPr>
        <w:t xml:space="preserve">Allegations of staff misconduct or wrongdoing, including Public Interest Disclosures (PID) made under the </w:t>
      </w:r>
      <w:r w:rsidRPr="00A33570">
        <w:rPr>
          <w:rFonts w:cstheme="minorHAnsi"/>
          <w:i/>
          <w:iCs/>
          <w:sz w:val="24"/>
          <w:szCs w:val="24"/>
        </w:rPr>
        <w:t>Public Interest Disclosure Act 2012</w:t>
      </w:r>
      <w:r w:rsidRPr="00BA6197">
        <w:rPr>
          <w:rFonts w:cstheme="minorHAnsi"/>
          <w:sz w:val="24"/>
          <w:szCs w:val="24"/>
        </w:rPr>
        <w:t xml:space="preserve">.  Such allegations will be investigated in accordance with the relevant administrative policy, including the PID Guidelines.  Refer to the CFC website for more information on the PID Guidelines. </w:t>
      </w:r>
    </w:p>
    <w:p w14:paraId="39DE2D7C" w14:textId="02D1E135" w:rsidR="00AA7A7E" w:rsidRPr="00BA6197" w:rsidRDefault="00AA7A7E" w:rsidP="00BA6197">
      <w:pPr>
        <w:pStyle w:val="ListParagraph"/>
        <w:numPr>
          <w:ilvl w:val="0"/>
          <w:numId w:val="2"/>
        </w:numPr>
        <w:rPr>
          <w:rFonts w:cstheme="minorHAnsi"/>
          <w:sz w:val="24"/>
          <w:szCs w:val="24"/>
        </w:rPr>
      </w:pPr>
      <w:r w:rsidRPr="00BA6197">
        <w:rPr>
          <w:rFonts w:cstheme="minorHAnsi"/>
          <w:sz w:val="24"/>
          <w:szCs w:val="24"/>
        </w:rPr>
        <w:t xml:space="preserve">Note: It is an offence for the head of a public sector agency or an SES officer not to notify the Integrity Commission about any matter they suspect, on reasonable grounds, involves serious corrupt conduct or systemic corrupt conduct.  See section 62, 65 and 66 of the </w:t>
      </w:r>
      <w:r w:rsidRPr="00A33570">
        <w:rPr>
          <w:rFonts w:cstheme="minorHAnsi"/>
          <w:i/>
          <w:iCs/>
          <w:sz w:val="24"/>
          <w:szCs w:val="24"/>
        </w:rPr>
        <w:t>Integrity Commission Act 2018</w:t>
      </w:r>
      <w:r w:rsidRPr="00BA6197">
        <w:rPr>
          <w:rFonts w:cstheme="minorHAnsi"/>
          <w:sz w:val="24"/>
          <w:szCs w:val="24"/>
        </w:rPr>
        <w:t xml:space="preserve"> for information on mandatory corruption notifications.</w:t>
      </w:r>
    </w:p>
    <w:p w14:paraId="1B83C916" w14:textId="15E251EF" w:rsidR="00AA7A7E" w:rsidRPr="00BA6197" w:rsidRDefault="00AA7A7E" w:rsidP="00BA6197">
      <w:pPr>
        <w:pStyle w:val="ListParagraph"/>
        <w:numPr>
          <w:ilvl w:val="0"/>
          <w:numId w:val="3"/>
        </w:numPr>
        <w:rPr>
          <w:rFonts w:cstheme="minorHAnsi"/>
          <w:sz w:val="24"/>
          <w:szCs w:val="24"/>
        </w:rPr>
      </w:pPr>
      <w:r w:rsidRPr="00BA6197">
        <w:rPr>
          <w:rFonts w:cstheme="minorHAnsi"/>
          <w:sz w:val="24"/>
          <w:szCs w:val="24"/>
        </w:rPr>
        <w:t>Staff complaints including employment related disputes/grievances, such as those relating to the conditions of employment and work health and safety.  Employment related complaints will be handled in accordance with the relevant administrative policy, for example, the CFC Enterprise Agreement.</w:t>
      </w:r>
    </w:p>
    <w:p w14:paraId="29C61F12" w14:textId="08007DAF" w:rsidR="00AA7A7E" w:rsidRPr="00BA6197" w:rsidRDefault="00AA7A7E" w:rsidP="00BA6197">
      <w:pPr>
        <w:pStyle w:val="ListParagraph"/>
        <w:numPr>
          <w:ilvl w:val="0"/>
          <w:numId w:val="3"/>
        </w:numPr>
        <w:rPr>
          <w:rFonts w:cstheme="minorHAnsi"/>
          <w:sz w:val="24"/>
          <w:szCs w:val="24"/>
        </w:rPr>
      </w:pPr>
      <w:r w:rsidRPr="00BA6197">
        <w:rPr>
          <w:rFonts w:cstheme="minorHAnsi"/>
          <w:sz w:val="24"/>
          <w:szCs w:val="24"/>
        </w:rPr>
        <w:t xml:space="preserve">Complaints subject to separate legislative or policy review processes, for example, the ACT Ombudsman’s review process under the </w:t>
      </w:r>
      <w:r w:rsidRPr="00A33570">
        <w:rPr>
          <w:rFonts w:cstheme="minorHAnsi"/>
          <w:i/>
          <w:iCs/>
          <w:sz w:val="24"/>
          <w:szCs w:val="24"/>
        </w:rPr>
        <w:t>Freedom of Information Act 2016</w:t>
      </w:r>
      <w:r w:rsidRPr="00BA6197">
        <w:rPr>
          <w:rFonts w:cstheme="minorHAnsi"/>
          <w:sz w:val="24"/>
          <w:szCs w:val="24"/>
        </w:rPr>
        <w:t>.</w:t>
      </w:r>
    </w:p>
    <w:p w14:paraId="30A2B35B" w14:textId="77777777" w:rsidR="00AA7A7E" w:rsidRPr="00AA7A7E" w:rsidRDefault="00AA7A7E" w:rsidP="00AA7A7E">
      <w:pPr>
        <w:rPr>
          <w:rFonts w:cstheme="minorHAnsi"/>
          <w:sz w:val="24"/>
          <w:szCs w:val="24"/>
        </w:rPr>
      </w:pPr>
    </w:p>
    <w:p w14:paraId="6CC77E47" w14:textId="77777777" w:rsidR="00AA7A7E" w:rsidRPr="00AA7A7E" w:rsidRDefault="00AA7A7E" w:rsidP="00AA7A7E">
      <w:pPr>
        <w:rPr>
          <w:rFonts w:cstheme="minorHAnsi"/>
          <w:sz w:val="24"/>
          <w:szCs w:val="24"/>
        </w:rPr>
      </w:pPr>
      <w:r w:rsidRPr="00AA7A7E">
        <w:rPr>
          <w:rFonts w:cstheme="minorHAnsi"/>
          <w:sz w:val="24"/>
          <w:szCs w:val="24"/>
        </w:rPr>
        <w:t>The CFC is also unable to investigate complaints in some circumstances, including where:</w:t>
      </w:r>
    </w:p>
    <w:p w14:paraId="3C4449ED" w14:textId="24456D51" w:rsidR="00AA7A7E" w:rsidRPr="00BA6197" w:rsidRDefault="00AA7A7E" w:rsidP="00BA6197">
      <w:pPr>
        <w:pStyle w:val="ListParagraph"/>
        <w:numPr>
          <w:ilvl w:val="0"/>
          <w:numId w:val="4"/>
        </w:numPr>
        <w:rPr>
          <w:rFonts w:cstheme="minorHAnsi"/>
          <w:sz w:val="24"/>
          <w:szCs w:val="24"/>
        </w:rPr>
      </w:pPr>
      <w:r w:rsidRPr="00BA6197">
        <w:rPr>
          <w:rFonts w:cstheme="minorHAnsi"/>
          <w:sz w:val="24"/>
          <w:szCs w:val="24"/>
        </w:rPr>
        <w:t>There is insufficient information to investigate the complaint</w:t>
      </w:r>
      <w:r w:rsidR="00BA6197">
        <w:rPr>
          <w:rFonts w:cstheme="minorHAnsi"/>
          <w:sz w:val="24"/>
          <w:szCs w:val="24"/>
        </w:rPr>
        <w:t xml:space="preserve">; </w:t>
      </w:r>
    </w:p>
    <w:p w14:paraId="22D4E4BD" w14:textId="2D304A85" w:rsidR="00AA7A7E" w:rsidRPr="00BA6197" w:rsidRDefault="00AA7A7E" w:rsidP="00BA6197">
      <w:pPr>
        <w:pStyle w:val="ListParagraph"/>
        <w:numPr>
          <w:ilvl w:val="0"/>
          <w:numId w:val="4"/>
        </w:numPr>
        <w:rPr>
          <w:rFonts w:cstheme="minorHAnsi"/>
          <w:sz w:val="24"/>
          <w:szCs w:val="24"/>
        </w:rPr>
      </w:pPr>
      <w:r w:rsidRPr="00BA6197">
        <w:rPr>
          <w:rFonts w:cstheme="minorHAnsi"/>
          <w:sz w:val="24"/>
          <w:szCs w:val="24"/>
        </w:rPr>
        <w:t>The complaint is more appropriately investigated by another body such as ACT Policing or the Chief Minister, Treasury and Economic Development Directorate</w:t>
      </w:r>
      <w:r w:rsidR="00BA6197">
        <w:rPr>
          <w:rFonts w:cstheme="minorHAnsi"/>
          <w:sz w:val="24"/>
          <w:szCs w:val="24"/>
        </w:rPr>
        <w:t>; or</w:t>
      </w:r>
    </w:p>
    <w:p w14:paraId="5C57DFC1" w14:textId="77777777" w:rsidR="00AA7A7E" w:rsidRPr="00BA6197" w:rsidRDefault="00AA7A7E" w:rsidP="00BA6197">
      <w:pPr>
        <w:pStyle w:val="ListParagraph"/>
        <w:numPr>
          <w:ilvl w:val="0"/>
          <w:numId w:val="4"/>
        </w:numPr>
        <w:rPr>
          <w:rFonts w:cstheme="minorHAnsi"/>
          <w:sz w:val="24"/>
          <w:szCs w:val="24"/>
        </w:rPr>
      </w:pPr>
      <w:proofErr w:type="gramStart"/>
      <w:r w:rsidRPr="00BA6197">
        <w:rPr>
          <w:rFonts w:cstheme="minorHAnsi"/>
          <w:sz w:val="24"/>
          <w:szCs w:val="24"/>
        </w:rPr>
        <w:t>Following a preliminary investigation, there</w:t>
      </w:r>
      <w:proofErr w:type="gramEnd"/>
      <w:r w:rsidRPr="00BA6197">
        <w:rPr>
          <w:rFonts w:cstheme="minorHAnsi"/>
          <w:sz w:val="24"/>
          <w:szCs w:val="24"/>
        </w:rPr>
        <w:t xml:space="preserve"> is no way of resolving the complaint.</w:t>
      </w:r>
    </w:p>
    <w:p w14:paraId="322FD8B0" w14:textId="77777777" w:rsidR="00AA7A7E" w:rsidRPr="00AA7A7E" w:rsidRDefault="00AA7A7E" w:rsidP="00AA7A7E">
      <w:pPr>
        <w:rPr>
          <w:rFonts w:cstheme="minorHAnsi"/>
          <w:sz w:val="24"/>
          <w:szCs w:val="24"/>
        </w:rPr>
      </w:pPr>
    </w:p>
    <w:p w14:paraId="0ED788F2" w14:textId="77777777" w:rsidR="00AA7A7E" w:rsidRPr="00AA7A7E" w:rsidRDefault="00AA7A7E" w:rsidP="00AA7A7E">
      <w:pPr>
        <w:rPr>
          <w:rFonts w:cstheme="minorHAnsi"/>
          <w:sz w:val="24"/>
          <w:szCs w:val="24"/>
        </w:rPr>
      </w:pPr>
    </w:p>
    <w:p w14:paraId="7DAD5559" w14:textId="77777777" w:rsidR="00AA7A7E" w:rsidRPr="00AA7A7E" w:rsidRDefault="00AA7A7E" w:rsidP="00AA7A7E">
      <w:pPr>
        <w:rPr>
          <w:rFonts w:cstheme="minorHAnsi"/>
          <w:sz w:val="24"/>
          <w:szCs w:val="24"/>
        </w:rPr>
      </w:pPr>
    </w:p>
    <w:p w14:paraId="48BD866A" w14:textId="77777777" w:rsidR="003A0FBF" w:rsidRPr="00AA7A7E" w:rsidRDefault="003A0FBF">
      <w:pPr>
        <w:rPr>
          <w:rFonts w:cstheme="minorHAnsi"/>
          <w:sz w:val="24"/>
          <w:szCs w:val="24"/>
        </w:rPr>
      </w:pPr>
    </w:p>
    <w:sectPr w:rsidR="003A0FBF" w:rsidRPr="00AA7A7E" w:rsidSect="00785BC5">
      <w:headerReference w:type="default" r:id="rId13"/>
      <w:footerReference w:type="default" r:id="rId1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896A8" w14:textId="77777777" w:rsidR="00AA7A7E" w:rsidRDefault="00AA7A7E" w:rsidP="00AA7A7E">
      <w:pPr>
        <w:spacing w:after="0" w:line="240" w:lineRule="auto"/>
      </w:pPr>
      <w:r>
        <w:separator/>
      </w:r>
    </w:p>
  </w:endnote>
  <w:endnote w:type="continuationSeparator" w:id="0">
    <w:p w14:paraId="31F09189" w14:textId="77777777" w:rsidR="00AA7A7E" w:rsidRDefault="00AA7A7E" w:rsidP="00AA7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1647517"/>
      <w:docPartObj>
        <w:docPartGallery w:val="Page Numbers (Bottom of Page)"/>
        <w:docPartUnique/>
      </w:docPartObj>
    </w:sdtPr>
    <w:sdtEndPr>
      <w:rPr>
        <w:noProof/>
      </w:rPr>
    </w:sdtEndPr>
    <w:sdtContent>
      <w:p w14:paraId="115EA1CC" w14:textId="083C83E5" w:rsidR="00AA7A7E" w:rsidRDefault="00AA7A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C0841B" w14:textId="77777777" w:rsidR="00AA7A7E" w:rsidRDefault="00AA7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91604" w14:textId="77777777" w:rsidR="00AA7A7E" w:rsidRDefault="00AA7A7E" w:rsidP="00AA7A7E">
      <w:pPr>
        <w:spacing w:after="0" w:line="240" w:lineRule="auto"/>
      </w:pPr>
      <w:r>
        <w:separator/>
      </w:r>
    </w:p>
  </w:footnote>
  <w:footnote w:type="continuationSeparator" w:id="0">
    <w:p w14:paraId="63346400" w14:textId="77777777" w:rsidR="00AA7A7E" w:rsidRDefault="00AA7A7E" w:rsidP="00AA7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8FD2" w14:textId="4A1F90BF" w:rsidR="00AA7A7E" w:rsidRDefault="00AA7A7E">
    <w:pPr>
      <w:pStyle w:val="Header"/>
    </w:pPr>
    <w:r>
      <w:t>CFC Complaints Handling Policy</w:t>
    </w:r>
  </w:p>
  <w:p w14:paraId="3800D225" w14:textId="77777777" w:rsidR="003D552C" w:rsidRDefault="003D5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3A6C"/>
    <w:multiLevelType w:val="hybridMultilevel"/>
    <w:tmpl w:val="F258A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D21D8C"/>
    <w:multiLevelType w:val="hybridMultilevel"/>
    <w:tmpl w:val="7A8A64E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2587CA7"/>
    <w:multiLevelType w:val="hybridMultilevel"/>
    <w:tmpl w:val="D1DA549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33A15A1"/>
    <w:multiLevelType w:val="hybridMultilevel"/>
    <w:tmpl w:val="A5706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3E4CE9"/>
    <w:multiLevelType w:val="hybridMultilevel"/>
    <w:tmpl w:val="A9A00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642F67"/>
    <w:multiLevelType w:val="hybridMultilevel"/>
    <w:tmpl w:val="7CEC101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75B73C0"/>
    <w:multiLevelType w:val="hybridMultilevel"/>
    <w:tmpl w:val="ABAC7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7E1892"/>
    <w:multiLevelType w:val="hybridMultilevel"/>
    <w:tmpl w:val="BE02C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BC7378"/>
    <w:multiLevelType w:val="hybridMultilevel"/>
    <w:tmpl w:val="22768A4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5053088"/>
    <w:multiLevelType w:val="hybridMultilevel"/>
    <w:tmpl w:val="31A27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0636B1"/>
    <w:multiLevelType w:val="hybridMultilevel"/>
    <w:tmpl w:val="C4EAE6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6EC72530"/>
    <w:multiLevelType w:val="hybridMultilevel"/>
    <w:tmpl w:val="EE0E1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9101E95"/>
    <w:multiLevelType w:val="hybridMultilevel"/>
    <w:tmpl w:val="D9E24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16467E"/>
    <w:multiLevelType w:val="hybridMultilevel"/>
    <w:tmpl w:val="BC8E09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3"/>
  </w:num>
  <w:num w:numId="5">
    <w:abstractNumId w:val="11"/>
  </w:num>
  <w:num w:numId="6">
    <w:abstractNumId w:val="5"/>
  </w:num>
  <w:num w:numId="7">
    <w:abstractNumId w:val="6"/>
  </w:num>
  <w:num w:numId="8">
    <w:abstractNumId w:val="1"/>
  </w:num>
  <w:num w:numId="9">
    <w:abstractNumId w:val="9"/>
  </w:num>
  <w:num w:numId="10">
    <w:abstractNumId w:val="8"/>
  </w:num>
  <w:num w:numId="11">
    <w:abstractNumId w:val="12"/>
  </w:num>
  <w:num w:numId="12">
    <w:abstractNumId w:val="0"/>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7E"/>
    <w:rsid w:val="00024A45"/>
    <w:rsid w:val="000B5FCC"/>
    <w:rsid w:val="00236283"/>
    <w:rsid w:val="003A0FBF"/>
    <w:rsid w:val="003D552C"/>
    <w:rsid w:val="003F0118"/>
    <w:rsid w:val="005A122C"/>
    <w:rsid w:val="006411C7"/>
    <w:rsid w:val="00665322"/>
    <w:rsid w:val="00785BC5"/>
    <w:rsid w:val="008C2DEF"/>
    <w:rsid w:val="00994D47"/>
    <w:rsid w:val="00997030"/>
    <w:rsid w:val="009B3DAF"/>
    <w:rsid w:val="00A33570"/>
    <w:rsid w:val="00AA7A7E"/>
    <w:rsid w:val="00B053B8"/>
    <w:rsid w:val="00BA6197"/>
    <w:rsid w:val="00DF73A3"/>
    <w:rsid w:val="00EC77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EDFEB"/>
  <w15:chartTrackingRefBased/>
  <w15:docId w15:val="{F045F662-A595-4BF0-B786-22A090E8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2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7A7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A7A7E"/>
    <w:rPr>
      <w:rFonts w:cs="Times New Roman"/>
      <w:color w:val="0000FF"/>
      <w:u w:val="single"/>
    </w:rPr>
  </w:style>
  <w:style w:type="character" w:styleId="CommentReference">
    <w:name w:val="annotation reference"/>
    <w:basedOn w:val="DefaultParagraphFont"/>
    <w:uiPriority w:val="99"/>
    <w:semiHidden/>
    <w:unhideWhenUsed/>
    <w:rsid w:val="00AA7A7E"/>
    <w:rPr>
      <w:sz w:val="16"/>
      <w:szCs w:val="16"/>
    </w:rPr>
  </w:style>
  <w:style w:type="paragraph" w:styleId="CommentText">
    <w:name w:val="annotation text"/>
    <w:basedOn w:val="Normal"/>
    <w:link w:val="CommentTextChar"/>
    <w:uiPriority w:val="99"/>
    <w:unhideWhenUsed/>
    <w:rsid w:val="00AA7A7E"/>
    <w:pPr>
      <w:spacing w:before="100" w:beforeAutospacing="1" w:after="100" w:afterAutospacing="1" w:line="240" w:lineRule="auto"/>
      <w:contextualSpacing/>
    </w:pPr>
    <w:rPr>
      <w:rFonts w:ascii="Calibri" w:eastAsia="Times New Roman" w:hAnsi="Calibri" w:cs="Arial"/>
      <w:sz w:val="20"/>
      <w:szCs w:val="20"/>
      <w:lang w:eastAsia="en-AU"/>
    </w:rPr>
  </w:style>
  <w:style w:type="character" w:customStyle="1" w:styleId="CommentTextChar">
    <w:name w:val="Comment Text Char"/>
    <w:basedOn w:val="DefaultParagraphFont"/>
    <w:link w:val="CommentText"/>
    <w:uiPriority w:val="99"/>
    <w:rsid w:val="00AA7A7E"/>
    <w:rPr>
      <w:rFonts w:ascii="Calibri" w:eastAsia="Times New Roman" w:hAnsi="Calibri" w:cs="Arial"/>
      <w:sz w:val="20"/>
      <w:szCs w:val="20"/>
      <w:lang w:eastAsia="en-AU"/>
    </w:rPr>
  </w:style>
  <w:style w:type="character" w:styleId="FollowedHyperlink">
    <w:name w:val="FollowedHyperlink"/>
    <w:basedOn w:val="DefaultParagraphFont"/>
    <w:uiPriority w:val="99"/>
    <w:semiHidden/>
    <w:unhideWhenUsed/>
    <w:rsid w:val="00AA7A7E"/>
    <w:rPr>
      <w:color w:val="954F72" w:themeColor="followedHyperlink"/>
      <w:u w:val="single"/>
    </w:rPr>
  </w:style>
  <w:style w:type="paragraph" w:styleId="Header">
    <w:name w:val="header"/>
    <w:basedOn w:val="Normal"/>
    <w:link w:val="HeaderChar"/>
    <w:uiPriority w:val="99"/>
    <w:unhideWhenUsed/>
    <w:rsid w:val="00AA7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A7E"/>
  </w:style>
  <w:style w:type="paragraph" w:styleId="Footer">
    <w:name w:val="footer"/>
    <w:basedOn w:val="Normal"/>
    <w:link w:val="FooterChar"/>
    <w:uiPriority w:val="99"/>
    <w:unhideWhenUsed/>
    <w:rsid w:val="00AA7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A7E"/>
  </w:style>
  <w:style w:type="paragraph" w:styleId="ListParagraph">
    <w:name w:val="List Paragraph"/>
    <w:basedOn w:val="Normal"/>
    <w:uiPriority w:val="34"/>
    <w:qFormat/>
    <w:rsid w:val="00BA6197"/>
    <w:pPr>
      <w:ind w:left="720"/>
      <w:contextualSpacing/>
    </w:pPr>
  </w:style>
  <w:style w:type="character" w:styleId="UnresolvedMention">
    <w:name w:val="Unresolved Mention"/>
    <w:basedOn w:val="DefaultParagraphFont"/>
    <w:uiPriority w:val="99"/>
    <w:semiHidden/>
    <w:unhideWhenUsed/>
    <w:rsid w:val="00994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G:\CFC\Staff\Documents\CFC\"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CFCCorporateFinance@act.gov.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nyon.homestead@act.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mag@act.gov.au" TargetMode="External"/><Relationship Id="rId4" Type="http://schemas.openxmlformats.org/officeDocument/2006/relationships/webSettings" Target="webSettings.xml"/><Relationship Id="rId9" Type="http://schemas.openxmlformats.org/officeDocument/2006/relationships/hyperlink" Target="https://canberratheatrecentre.com.au/contact-u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Brooke</dc:creator>
  <cp:keywords/>
  <dc:description/>
  <cp:lastModifiedBy>Thomas, Brooke</cp:lastModifiedBy>
  <cp:revision>15</cp:revision>
  <dcterms:created xsi:type="dcterms:W3CDTF">2022-04-26T11:04:00Z</dcterms:created>
  <dcterms:modified xsi:type="dcterms:W3CDTF">2022-04-27T05:17:00Z</dcterms:modified>
</cp:coreProperties>
</file>