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47AF" w14:textId="59F86625" w:rsidR="00CE39A8" w:rsidRPr="00AA7A7E" w:rsidRDefault="00CE39A8" w:rsidP="00CE39A8">
      <w:pPr>
        <w:rPr>
          <w:rFonts w:cstheme="minorHAnsi"/>
          <w:b/>
          <w:bCs/>
          <w:sz w:val="32"/>
          <w:szCs w:val="32"/>
        </w:rPr>
      </w:pPr>
      <w:r w:rsidRPr="00AA7A7E">
        <w:rPr>
          <w:rFonts w:cstheme="minorHAnsi"/>
          <w:noProof/>
        </w:rPr>
        <w:drawing>
          <wp:anchor distT="0" distB="0" distL="114300" distR="114300" simplePos="0" relativeHeight="251659264" behindDoc="0" locked="0" layoutInCell="1" allowOverlap="1" wp14:anchorId="0F4D91E9" wp14:editId="193CDF48">
            <wp:simplePos x="0" y="0"/>
            <wp:positionH relativeFrom="margin">
              <wp:posOffset>4366260</wp:posOffset>
            </wp:positionH>
            <wp:positionV relativeFrom="paragraph">
              <wp:posOffset>-19685</wp:posOffset>
            </wp:positionV>
            <wp:extent cx="1251585" cy="1255395"/>
            <wp:effectExtent l="0" t="0" r="571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Logo_stacked_colour_PMS-uncoat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1585" cy="1255395"/>
                    </a:xfrm>
                    <a:prstGeom prst="rect">
                      <a:avLst/>
                    </a:prstGeom>
                  </pic:spPr>
                </pic:pic>
              </a:graphicData>
            </a:graphic>
            <wp14:sizeRelH relativeFrom="page">
              <wp14:pctWidth>0</wp14:pctWidth>
            </wp14:sizeRelH>
            <wp14:sizeRelV relativeFrom="page">
              <wp14:pctHeight>0</wp14:pctHeight>
            </wp14:sizeRelV>
          </wp:anchor>
        </w:drawing>
      </w:r>
      <w:r w:rsidRPr="00AA7A7E">
        <w:rPr>
          <w:rFonts w:cstheme="minorHAnsi"/>
          <w:b/>
          <w:bCs/>
          <w:sz w:val="28"/>
          <w:szCs w:val="28"/>
        </w:rPr>
        <w:t>CULTURAL FACILITIES CORPORATION</w:t>
      </w:r>
      <w:r w:rsidRPr="00AA7A7E">
        <w:rPr>
          <w:rFonts w:cstheme="minorHAnsi"/>
          <w:b/>
          <w:bCs/>
          <w:sz w:val="28"/>
          <w:szCs w:val="28"/>
        </w:rPr>
        <w:br/>
      </w:r>
      <w:r w:rsidR="008A2D7E">
        <w:rPr>
          <w:b/>
          <w:bCs/>
          <w:sz w:val="32"/>
          <w:szCs w:val="32"/>
        </w:rPr>
        <w:t xml:space="preserve">Local Independent Arts Engagement </w:t>
      </w:r>
      <w:r w:rsidRPr="00800F5A">
        <w:rPr>
          <w:b/>
          <w:bCs/>
          <w:sz w:val="32"/>
          <w:szCs w:val="32"/>
        </w:rPr>
        <w:t>Policy</w:t>
      </w:r>
    </w:p>
    <w:p w14:paraId="6F15FAE2" w14:textId="77777777" w:rsidR="00CE39A8" w:rsidRPr="00AA7A7E" w:rsidRDefault="00CE39A8" w:rsidP="00CE39A8">
      <w:pPr>
        <w:rPr>
          <w:rFonts w:cstheme="minorHAnsi"/>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6204"/>
      </w:tblGrid>
      <w:tr w:rsidR="00CE39A8" w:rsidRPr="00AA7A7E" w14:paraId="075DB093" w14:textId="77777777" w:rsidTr="00FF258A">
        <w:tc>
          <w:tcPr>
            <w:tcW w:w="2822" w:type="dxa"/>
          </w:tcPr>
          <w:p w14:paraId="3946A909" w14:textId="77777777" w:rsidR="00CE39A8" w:rsidRDefault="00CE39A8" w:rsidP="00FF258A">
            <w:pPr>
              <w:rPr>
                <w:rFonts w:asciiTheme="minorHAnsi" w:hAnsiTheme="minorHAnsi" w:cstheme="minorHAnsi"/>
              </w:rPr>
            </w:pPr>
            <w:r w:rsidRPr="00AA7A7E">
              <w:rPr>
                <w:rFonts w:asciiTheme="minorHAnsi" w:hAnsiTheme="minorHAnsi" w:cstheme="minorHAnsi"/>
              </w:rPr>
              <w:t>Authorised by:</w:t>
            </w:r>
          </w:p>
          <w:p w14:paraId="66CF9EB3" w14:textId="77777777" w:rsidR="00CE39A8" w:rsidRDefault="00CE39A8" w:rsidP="00FF258A">
            <w:pPr>
              <w:rPr>
                <w:rFonts w:asciiTheme="minorHAnsi" w:hAnsiTheme="minorHAnsi" w:cstheme="minorHAnsi"/>
              </w:rPr>
            </w:pPr>
          </w:p>
          <w:p w14:paraId="46083077" w14:textId="77777777" w:rsidR="00CE39A8" w:rsidRPr="00AA7A7E" w:rsidRDefault="00CE39A8" w:rsidP="00FF258A">
            <w:pPr>
              <w:rPr>
                <w:rFonts w:asciiTheme="minorHAnsi" w:hAnsiTheme="minorHAnsi" w:cstheme="minorHAnsi"/>
              </w:rPr>
            </w:pPr>
          </w:p>
        </w:tc>
        <w:tc>
          <w:tcPr>
            <w:tcW w:w="6204" w:type="dxa"/>
          </w:tcPr>
          <w:p w14:paraId="0ECCCA08" w14:textId="77777777" w:rsidR="00CE39A8" w:rsidRDefault="00CE39A8" w:rsidP="00FF258A">
            <w:pPr>
              <w:rPr>
                <w:rFonts w:asciiTheme="minorHAnsi" w:hAnsiTheme="minorHAnsi" w:cstheme="minorHAnsi"/>
              </w:rPr>
            </w:pPr>
            <w:r w:rsidRPr="00AA7A7E">
              <w:rPr>
                <w:rFonts w:asciiTheme="minorHAnsi" w:hAnsiTheme="minorHAnsi" w:cstheme="minorHAnsi"/>
              </w:rPr>
              <w:t>Gordon Ramsay</w:t>
            </w:r>
            <w:r w:rsidRPr="00AA7A7E">
              <w:rPr>
                <w:rFonts w:asciiTheme="minorHAnsi" w:hAnsiTheme="minorHAnsi" w:cstheme="minorHAnsi"/>
              </w:rPr>
              <w:br/>
              <w:t>CEO</w:t>
            </w:r>
            <w:r w:rsidRPr="00AA7A7E">
              <w:rPr>
                <w:rFonts w:asciiTheme="minorHAnsi" w:hAnsiTheme="minorHAnsi" w:cstheme="minorHAnsi"/>
              </w:rPr>
              <w:br/>
              <w:t>Cultural Facilities Corporation</w:t>
            </w:r>
          </w:p>
          <w:p w14:paraId="616F56B1" w14:textId="77777777" w:rsidR="00CE39A8" w:rsidRPr="00AA7A7E" w:rsidRDefault="00CE39A8" w:rsidP="00FF258A">
            <w:pPr>
              <w:rPr>
                <w:rFonts w:asciiTheme="minorHAnsi" w:hAnsiTheme="minorHAnsi" w:cstheme="minorHAnsi"/>
              </w:rPr>
            </w:pPr>
          </w:p>
        </w:tc>
      </w:tr>
      <w:tr w:rsidR="00CE39A8" w:rsidRPr="00AA7A7E" w14:paraId="6371DADC" w14:textId="77777777" w:rsidTr="00FF258A">
        <w:tc>
          <w:tcPr>
            <w:tcW w:w="2822" w:type="dxa"/>
          </w:tcPr>
          <w:p w14:paraId="304BBCF0" w14:textId="7FE2094B" w:rsidR="00CE39A8" w:rsidRPr="00AA7A7E" w:rsidRDefault="00CE39A8" w:rsidP="00FF258A">
            <w:pPr>
              <w:rPr>
                <w:rFonts w:asciiTheme="minorHAnsi" w:hAnsiTheme="minorHAnsi" w:cstheme="minorHAnsi"/>
              </w:rPr>
            </w:pPr>
            <w:r>
              <w:rPr>
                <w:rFonts w:asciiTheme="minorHAnsi" w:hAnsiTheme="minorHAnsi" w:cstheme="minorHAnsi"/>
              </w:rPr>
              <w:t>Board Approved</w:t>
            </w:r>
            <w:r w:rsidRPr="00AA7A7E">
              <w:rPr>
                <w:rFonts w:asciiTheme="minorHAnsi" w:hAnsiTheme="minorHAnsi" w:cstheme="minorHAnsi"/>
              </w:rPr>
              <w:t>:</w:t>
            </w:r>
          </w:p>
          <w:p w14:paraId="649C0C3E" w14:textId="77777777" w:rsidR="00CE39A8" w:rsidRPr="00AA7A7E" w:rsidRDefault="00CE39A8" w:rsidP="00FF258A">
            <w:pPr>
              <w:rPr>
                <w:rFonts w:asciiTheme="minorHAnsi" w:hAnsiTheme="minorHAnsi" w:cstheme="minorHAnsi"/>
              </w:rPr>
            </w:pPr>
          </w:p>
        </w:tc>
        <w:tc>
          <w:tcPr>
            <w:tcW w:w="6204" w:type="dxa"/>
          </w:tcPr>
          <w:p w14:paraId="518E842F" w14:textId="406E1489" w:rsidR="00CE39A8" w:rsidRPr="00AA7A7E" w:rsidRDefault="00CE39A8" w:rsidP="00FF258A">
            <w:pPr>
              <w:rPr>
                <w:rFonts w:asciiTheme="minorHAnsi" w:hAnsiTheme="minorHAnsi" w:cstheme="minorHAnsi"/>
              </w:rPr>
            </w:pPr>
            <w:r>
              <w:rPr>
                <w:rFonts w:asciiTheme="minorHAnsi" w:hAnsiTheme="minorHAnsi" w:cstheme="minorHAnsi"/>
              </w:rPr>
              <w:t>28 April</w:t>
            </w:r>
            <w:r w:rsidRPr="00AA7A7E">
              <w:rPr>
                <w:rFonts w:asciiTheme="minorHAnsi" w:hAnsiTheme="minorHAnsi" w:cstheme="minorHAnsi"/>
              </w:rPr>
              <w:t xml:space="preserve"> 2022  </w:t>
            </w:r>
          </w:p>
        </w:tc>
      </w:tr>
      <w:tr w:rsidR="00CE39A8" w:rsidRPr="00AA7A7E" w14:paraId="4F7B6D71" w14:textId="77777777" w:rsidTr="00FF258A">
        <w:tc>
          <w:tcPr>
            <w:tcW w:w="2822" w:type="dxa"/>
          </w:tcPr>
          <w:p w14:paraId="21E61752" w14:textId="77777777" w:rsidR="00CE39A8" w:rsidRPr="00AA7A7E" w:rsidRDefault="00CE39A8" w:rsidP="00FF258A">
            <w:pPr>
              <w:rPr>
                <w:rFonts w:asciiTheme="minorHAnsi" w:hAnsiTheme="minorHAnsi" w:cstheme="minorHAnsi"/>
              </w:rPr>
            </w:pPr>
            <w:r w:rsidRPr="00AA7A7E">
              <w:rPr>
                <w:rFonts w:asciiTheme="minorHAnsi" w:hAnsiTheme="minorHAnsi" w:cstheme="minorHAnsi"/>
              </w:rPr>
              <w:t>Date for review:</w:t>
            </w:r>
          </w:p>
        </w:tc>
        <w:tc>
          <w:tcPr>
            <w:tcW w:w="6204" w:type="dxa"/>
          </w:tcPr>
          <w:p w14:paraId="13195FC3" w14:textId="77777777" w:rsidR="00CE39A8" w:rsidRPr="00AA7A7E" w:rsidRDefault="00CE39A8" w:rsidP="00FF258A">
            <w:pPr>
              <w:rPr>
                <w:rFonts w:asciiTheme="minorHAnsi" w:hAnsiTheme="minorHAnsi" w:cstheme="minorHAnsi"/>
              </w:rPr>
            </w:pPr>
            <w:r>
              <w:rPr>
                <w:rFonts w:asciiTheme="minorHAnsi" w:hAnsiTheme="minorHAnsi" w:cstheme="minorHAnsi"/>
              </w:rPr>
              <w:t xml:space="preserve">April </w:t>
            </w:r>
            <w:r w:rsidRPr="00AA7A7E">
              <w:rPr>
                <w:rFonts w:asciiTheme="minorHAnsi" w:hAnsiTheme="minorHAnsi" w:cstheme="minorHAnsi"/>
              </w:rPr>
              <w:t>2025</w:t>
            </w:r>
          </w:p>
        </w:tc>
      </w:tr>
      <w:tr w:rsidR="00CE39A8" w:rsidRPr="00AA7A7E" w14:paraId="4072F655" w14:textId="77777777" w:rsidTr="00FF258A">
        <w:tc>
          <w:tcPr>
            <w:tcW w:w="2822" w:type="dxa"/>
          </w:tcPr>
          <w:p w14:paraId="4D226B55" w14:textId="77777777" w:rsidR="00CE39A8" w:rsidRDefault="00CE39A8" w:rsidP="00FF258A">
            <w:pPr>
              <w:rPr>
                <w:rFonts w:asciiTheme="minorHAnsi" w:hAnsiTheme="minorHAnsi" w:cstheme="minorHAnsi"/>
              </w:rPr>
            </w:pPr>
          </w:p>
          <w:p w14:paraId="3C7C6935" w14:textId="77777777" w:rsidR="00CE39A8" w:rsidRPr="00AA7A7E" w:rsidRDefault="00CE39A8" w:rsidP="00FF258A">
            <w:pPr>
              <w:rPr>
                <w:rFonts w:asciiTheme="minorHAnsi" w:hAnsiTheme="minorHAnsi" w:cstheme="minorHAnsi"/>
              </w:rPr>
            </w:pPr>
            <w:r w:rsidRPr="00AA7A7E">
              <w:rPr>
                <w:rFonts w:asciiTheme="minorHAnsi" w:hAnsiTheme="minorHAnsi" w:cstheme="minorHAnsi"/>
              </w:rPr>
              <w:t>Version:</w:t>
            </w:r>
          </w:p>
        </w:tc>
        <w:tc>
          <w:tcPr>
            <w:tcW w:w="6204" w:type="dxa"/>
          </w:tcPr>
          <w:p w14:paraId="0BDCDB1E" w14:textId="77777777" w:rsidR="00CE39A8" w:rsidRDefault="00CE39A8" w:rsidP="00FF258A">
            <w:pPr>
              <w:rPr>
                <w:rFonts w:asciiTheme="minorHAnsi" w:hAnsiTheme="minorHAnsi" w:cstheme="minorHAnsi"/>
              </w:rPr>
            </w:pPr>
          </w:p>
          <w:p w14:paraId="32CEBE9A" w14:textId="4EB57055" w:rsidR="00CE39A8" w:rsidRPr="00AA7A7E" w:rsidRDefault="00CE39A8" w:rsidP="00FF258A">
            <w:pPr>
              <w:rPr>
                <w:rFonts w:asciiTheme="minorHAnsi" w:hAnsiTheme="minorHAnsi" w:cstheme="minorHAnsi"/>
              </w:rPr>
            </w:pPr>
            <w:r w:rsidRPr="00AA7A7E">
              <w:rPr>
                <w:rFonts w:asciiTheme="minorHAnsi" w:hAnsiTheme="minorHAnsi" w:cstheme="minorHAnsi"/>
              </w:rPr>
              <w:t xml:space="preserve">Version </w:t>
            </w:r>
            <w:r w:rsidR="008A2D7E">
              <w:rPr>
                <w:rFonts w:asciiTheme="minorHAnsi" w:hAnsiTheme="minorHAnsi" w:cstheme="minorHAnsi"/>
              </w:rPr>
              <w:t>2</w:t>
            </w:r>
            <w:r w:rsidRPr="00AA7A7E">
              <w:rPr>
                <w:rFonts w:asciiTheme="minorHAnsi" w:hAnsiTheme="minorHAnsi" w:cstheme="minorHAnsi"/>
              </w:rPr>
              <w:t>.0</w:t>
            </w:r>
          </w:p>
        </w:tc>
      </w:tr>
      <w:tr w:rsidR="00CE39A8" w:rsidRPr="00AA7A7E" w14:paraId="31AEAD6C" w14:textId="77777777" w:rsidTr="00FF258A">
        <w:tc>
          <w:tcPr>
            <w:tcW w:w="2822" w:type="dxa"/>
          </w:tcPr>
          <w:p w14:paraId="1560F34C" w14:textId="77777777" w:rsidR="00CE39A8" w:rsidRPr="00AA7A7E" w:rsidRDefault="00CE39A8" w:rsidP="00FF258A">
            <w:pPr>
              <w:rPr>
                <w:rFonts w:asciiTheme="minorHAnsi" w:hAnsiTheme="minorHAnsi" w:cstheme="minorHAnsi"/>
              </w:rPr>
            </w:pPr>
          </w:p>
        </w:tc>
        <w:tc>
          <w:tcPr>
            <w:tcW w:w="6204" w:type="dxa"/>
          </w:tcPr>
          <w:p w14:paraId="43626AF9" w14:textId="77777777" w:rsidR="00CE39A8" w:rsidRPr="00AA7A7E" w:rsidRDefault="00CE39A8" w:rsidP="00FF258A">
            <w:pPr>
              <w:rPr>
                <w:rFonts w:asciiTheme="minorHAnsi" w:hAnsiTheme="minorHAnsi" w:cstheme="minorHAnsi"/>
              </w:rPr>
            </w:pPr>
          </w:p>
        </w:tc>
      </w:tr>
      <w:tr w:rsidR="00CE39A8" w:rsidRPr="00AA7A7E" w14:paraId="094EAC21" w14:textId="77777777" w:rsidTr="00FF258A">
        <w:tc>
          <w:tcPr>
            <w:tcW w:w="2822" w:type="dxa"/>
          </w:tcPr>
          <w:p w14:paraId="153FCF58" w14:textId="77777777" w:rsidR="00CE39A8" w:rsidRPr="00AA7A7E" w:rsidRDefault="00CE39A8" w:rsidP="00FF258A">
            <w:pPr>
              <w:rPr>
                <w:rFonts w:asciiTheme="minorHAnsi" w:hAnsiTheme="minorHAnsi" w:cstheme="minorHAnsi"/>
              </w:rPr>
            </w:pPr>
          </w:p>
        </w:tc>
        <w:tc>
          <w:tcPr>
            <w:tcW w:w="6204" w:type="dxa"/>
          </w:tcPr>
          <w:p w14:paraId="4C0224E8" w14:textId="77777777" w:rsidR="00CE39A8" w:rsidRPr="00AA7A7E" w:rsidRDefault="00CE39A8" w:rsidP="00FF258A">
            <w:pPr>
              <w:rPr>
                <w:rFonts w:asciiTheme="minorHAnsi" w:hAnsiTheme="minorHAnsi" w:cstheme="minorHAnsi"/>
              </w:rPr>
            </w:pPr>
            <w:r w:rsidRPr="00AA7A7E">
              <w:rPr>
                <w:rFonts w:asciiTheme="minorHAnsi" w:hAnsiTheme="minorHAnsi" w:cstheme="minorHAnsi"/>
              </w:rPr>
              <w:tab/>
            </w:r>
            <w:r w:rsidRPr="00AA7A7E">
              <w:rPr>
                <w:rFonts w:asciiTheme="minorHAnsi" w:hAnsiTheme="minorHAnsi" w:cstheme="minorHAnsi"/>
              </w:rPr>
              <w:tab/>
            </w:r>
          </w:p>
        </w:tc>
      </w:tr>
    </w:tbl>
    <w:p w14:paraId="082B37B4" w14:textId="77777777" w:rsidR="00CE39A8" w:rsidRDefault="00CE39A8" w:rsidP="00CE39A8">
      <w:pPr>
        <w:spacing w:before="0" w:beforeAutospacing="0" w:after="120" w:afterAutospacing="0"/>
        <w:rPr>
          <w:rFonts w:cstheme="minorHAnsi"/>
          <w:b/>
          <w:sz w:val="20"/>
        </w:rPr>
      </w:pPr>
      <w:r w:rsidRPr="00CE39A8">
        <w:rPr>
          <w:rFonts w:cstheme="minorHAnsi"/>
          <w:b/>
          <w:sz w:val="20"/>
        </w:rPr>
        <w:t>DOCUMENT PROPERTIES</w:t>
      </w:r>
    </w:p>
    <w:p w14:paraId="3ED48894" w14:textId="63BDEC9D" w:rsidR="00CE39A8" w:rsidRPr="005C39A1" w:rsidRDefault="00CE39A8" w:rsidP="005C39A1">
      <w:pPr>
        <w:spacing w:before="0" w:beforeAutospacing="0" w:afterAutospacing="0"/>
        <w:rPr>
          <w:rFonts w:cstheme="minorHAnsi"/>
          <w:b/>
          <w:color w:val="000080"/>
          <w:sz w:val="20"/>
        </w:rPr>
      </w:pPr>
      <w:r w:rsidRPr="005C39A1">
        <w:rPr>
          <w:rFonts w:cstheme="minorHAnsi"/>
          <w:b/>
          <w:sz w:val="20"/>
          <w:szCs w:val="20"/>
        </w:rPr>
        <w:t>Schedule of Amendments</w:t>
      </w:r>
    </w:p>
    <w:tbl>
      <w:tblPr>
        <w:tblStyle w:val="TableGrid"/>
        <w:tblW w:w="0" w:type="auto"/>
        <w:tblLook w:val="04A0" w:firstRow="1" w:lastRow="0" w:firstColumn="1" w:lastColumn="0" w:noHBand="0" w:noVBand="1"/>
      </w:tblPr>
      <w:tblGrid>
        <w:gridCol w:w="6689"/>
        <w:gridCol w:w="2327"/>
      </w:tblGrid>
      <w:tr w:rsidR="00CE39A8" w:rsidRPr="00CE39A8" w14:paraId="2F636E8F" w14:textId="77777777" w:rsidTr="00FF258A">
        <w:tc>
          <w:tcPr>
            <w:tcW w:w="9855" w:type="dxa"/>
            <w:gridSpan w:val="2"/>
          </w:tcPr>
          <w:p w14:paraId="4E2CFFF0" w14:textId="77777777" w:rsidR="00CE39A8" w:rsidRPr="00CE39A8" w:rsidRDefault="00CE39A8" w:rsidP="00FF258A">
            <w:pPr>
              <w:rPr>
                <w:sz w:val="20"/>
              </w:rPr>
            </w:pPr>
            <w:r w:rsidRPr="00CE39A8">
              <w:rPr>
                <w:sz w:val="20"/>
              </w:rPr>
              <w:t>New features (insertions)</w:t>
            </w:r>
          </w:p>
        </w:tc>
      </w:tr>
      <w:tr w:rsidR="00CE39A8" w:rsidRPr="00CE39A8" w14:paraId="7AC618EF" w14:textId="77777777" w:rsidTr="00FF258A">
        <w:tc>
          <w:tcPr>
            <w:tcW w:w="7338" w:type="dxa"/>
          </w:tcPr>
          <w:p w14:paraId="14952BA9" w14:textId="77777777" w:rsidR="00CE39A8" w:rsidRPr="00CE39A8" w:rsidRDefault="00CE39A8" w:rsidP="00FF258A">
            <w:pPr>
              <w:rPr>
                <w:sz w:val="20"/>
              </w:rPr>
            </w:pPr>
          </w:p>
        </w:tc>
        <w:tc>
          <w:tcPr>
            <w:tcW w:w="2517" w:type="dxa"/>
          </w:tcPr>
          <w:p w14:paraId="39B89F5A" w14:textId="77777777" w:rsidR="00CE39A8" w:rsidRPr="00CE39A8" w:rsidRDefault="00CE39A8" w:rsidP="00FF258A">
            <w:pPr>
              <w:rPr>
                <w:sz w:val="20"/>
              </w:rPr>
            </w:pPr>
            <w:r w:rsidRPr="00CE39A8">
              <w:rPr>
                <w:sz w:val="20"/>
              </w:rPr>
              <w:t>Date</w:t>
            </w:r>
          </w:p>
        </w:tc>
      </w:tr>
      <w:tr w:rsidR="00CE39A8" w:rsidRPr="00CE39A8" w14:paraId="443C6F77" w14:textId="77777777" w:rsidTr="00FF258A">
        <w:tc>
          <w:tcPr>
            <w:tcW w:w="9855" w:type="dxa"/>
            <w:gridSpan w:val="2"/>
          </w:tcPr>
          <w:p w14:paraId="1CB76F7A" w14:textId="77777777" w:rsidR="00CE39A8" w:rsidRPr="00CE39A8" w:rsidRDefault="00CE39A8" w:rsidP="00FF258A">
            <w:pPr>
              <w:rPr>
                <w:sz w:val="20"/>
              </w:rPr>
            </w:pPr>
            <w:r w:rsidRPr="00CE39A8">
              <w:rPr>
                <w:sz w:val="20"/>
              </w:rPr>
              <w:t>Enhancements (changes)</w:t>
            </w:r>
          </w:p>
        </w:tc>
      </w:tr>
      <w:tr w:rsidR="00CE39A8" w:rsidRPr="00CE39A8" w14:paraId="6906BDFD" w14:textId="77777777" w:rsidTr="00FF258A">
        <w:tc>
          <w:tcPr>
            <w:tcW w:w="7338" w:type="dxa"/>
          </w:tcPr>
          <w:p w14:paraId="5D8D0165" w14:textId="77777777" w:rsidR="00CE39A8" w:rsidRPr="00CE39A8" w:rsidRDefault="00CE39A8" w:rsidP="00FF258A">
            <w:pPr>
              <w:rPr>
                <w:sz w:val="20"/>
              </w:rPr>
            </w:pPr>
            <w:r w:rsidRPr="00CE39A8">
              <w:rPr>
                <w:sz w:val="20"/>
              </w:rPr>
              <w:t>New Format</w:t>
            </w:r>
          </w:p>
        </w:tc>
        <w:tc>
          <w:tcPr>
            <w:tcW w:w="2517" w:type="dxa"/>
          </w:tcPr>
          <w:p w14:paraId="057B5F61" w14:textId="21A35EC6" w:rsidR="00CE39A8" w:rsidRPr="00CE39A8" w:rsidRDefault="00CE39A8" w:rsidP="00FF258A">
            <w:pPr>
              <w:rPr>
                <w:sz w:val="20"/>
              </w:rPr>
            </w:pPr>
            <w:r w:rsidRPr="00CE39A8">
              <w:rPr>
                <w:sz w:val="20"/>
              </w:rPr>
              <w:t>Date</w:t>
            </w:r>
          </w:p>
        </w:tc>
      </w:tr>
      <w:tr w:rsidR="00CE39A8" w:rsidRPr="00CE39A8" w14:paraId="7BE0AB12" w14:textId="77777777" w:rsidTr="00FF258A">
        <w:tc>
          <w:tcPr>
            <w:tcW w:w="9855" w:type="dxa"/>
            <w:gridSpan w:val="2"/>
          </w:tcPr>
          <w:p w14:paraId="42B38421" w14:textId="77777777" w:rsidR="00CE39A8" w:rsidRPr="00CE39A8" w:rsidRDefault="00CE39A8" w:rsidP="00FF258A">
            <w:pPr>
              <w:rPr>
                <w:sz w:val="20"/>
              </w:rPr>
            </w:pPr>
            <w:r w:rsidRPr="00CE39A8">
              <w:rPr>
                <w:sz w:val="20"/>
              </w:rPr>
              <w:t>Deletions</w:t>
            </w:r>
          </w:p>
        </w:tc>
      </w:tr>
      <w:tr w:rsidR="00CE39A8" w:rsidRPr="00CE39A8" w14:paraId="519AB285" w14:textId="77777777" w:rsidTr="00FF258A">
        <w:tc>
          <w:tcPr>
            <w:tcW w:w="7338" w:type="dxa"/>
          </w:tcPr>
          <w:p w14:paraId="750FBD82" w14:textId="77777777" w:rsidR="00CE39A8" w:rsidRPr="00CE39A8" w:rsidRDefault="00CE39A8" w:rsidP="00FF258A">
            <w:pPr>
              <w:rPr>
                <w:sz w:val="20"/>
              </w:rPr>
            </w:pPr>
          </w:p>
        </w:tc>
        <w:tc>
          <w:tcPr>
            <w:tcW w:w="2517" w:type="dxa"/>
          </w:tcPr>
          <w:p w14:paraId="77E61AAF" w14:textId="77777777" w:rsidR="00CE39A8" w:rsidRPr="00CE39A8" w:rsidRDefault="00CE39A8" w:rsidP="00FF258A">
            <w:pPr>
              <w:rPr>
                <w:sz w:val="20"/>
              </w:rPr>
            </w:pPr>
            <w:r w:rsidRPr="00CE39A8">
              <w:rPr>
                <w:sz w:val="20"/>
              </w:rPr>
              <w:t>Date</w:t>
            </w:r>
          </w:p>
        </w:tc>
      </w:tr>
    </w:tbl>
    <w:p w14:paraId="36BF7767" w14:textId="77777777" w:rsidR="00CE39A8" w:rsidRPr="00CE39A8" w:rsidRDefault="00CE39A8" w:rsidP="00CE39A8">
      <w:pPr>
        <w:pStyle w:val="TRONormal"/>
        <w:rPr>
          <w:rFonts w:ascii="Calibri" w:hAnsi="Calibri"/>
          <w:sz w:val="20"/>
        </w:rPr>
      </w:pPr>
    </w:p>
    <w:p w14:paraId="6A547126" w14:textId="77777777" w:rsidR="00CE39A8" w:rsidRPr="005C39A1" w:rsidRDefault="00CE39A8" w:rsidP="00CE39A8">
      <w:pPr>
        <w:pStyle w:val="TRONormal"/>
        <w:rPr>
          <w:rFonts w:ascii="Calibri" w:hAnsi="Calibri"/>
          <w:b/>
          <w:bCs/>
          <w:sz w:val="20"/>
        </w:rPr>
      </w:pPr>
      <w:r w:rsidRPr="005C39A1">
        <w:rPr>
          <w:rFonts w:ascii="Calibri" w:hAnsi="Calibri"/>
          <w:b/>
          <w:bCs/>
          <w:sz w:val="20"/>
        </w:rPr>
        <w:t>Amendment History</w:t>
      </w:r>
    </w:p>
    <w:tbl>
      <w:tblPr>
        <w:tblStyle w:val="TableGrid"/>
        <w:tblW w:w="0" w:type="auto"/>
        <w:tblLook w:val="04A0" w:firstRow="1" w:lastRow="0" w:firstColumn="1" w:lastColumn="0" w:noHBand="0" w:noVBand="1"/>
      </w:tblPr>
      <w:tblGrid>
        <w:gridCol w:w="3017"/>
        <w:gridCol w:w="2989"/>
        <w:gridCol w:w="3010"/>
      </w:tblGrid>
      <w:tr w:rsidR="00CE39A8" w:rsidRPr="00CE39A8" w14:paraId="2F944F7D" w14:textId="77777777" w:rsidTr="00FF258A">
        <w:tc>
          <w:tcPr>
            <w:tcW w:w="3017" w:type="dxa"/>
          </w:tcPr>
          <w:p w14:paraId="4485AAA0" w14:textId="77777777" w:rsidR="00CE39A8" w:rsidRPr="00CE39A8" w:rsidRDefault="00CE39A8" w:rsidP="00FF258A">
            <w:pPr>
              <w:rPr>
                <w:sz w:val="20"/>
              </w:rPr>
            </w:pPr>
            <w:r w:rsidRPr="00CE39A8">
              <w:rPr>
                <w:sz w:val="20"/>
              </w:rPr>
              <w:t>Version No.</w:t>
            </w:r>
          </w:p>
        </w:tc>
        <w:tc>
          <w:tcPr>
            <w:tcW w:w="2989" w:type="dxa"/>
          </w:tcPr>
          <w:p w14:paraId="56EFA493" w14:textId="77777777" w:rsidR="00CE39A8" w:rsidRPr="00CE39A8" w:rsidRDefault="00CE39A8" w:rsidP="00FF258A">
            <w:pPr>
              <w:rPr>
                <w:sz w:val="20"/>
              </w:rPr>
            </w:pPr>
            <w:r w:rsidRPr="00CE39A8">
              <w:rPr>
                <w:sz w:val="20"/>
              </w:rPr>
              <w:t>Issue Date</w:t>
            </w:r>
          </w:p>
        </w:tc>
        <w:tc>
          <w:tcPr>
            <w:tcW w:w="3010" w:type="dxa"/>
          </w:tcPr>
          <w:p w14:paraId="42897D2F" w14:textId="77777777" w:rsidR="00CE39A8" w:rsidRPr="00CE39A8" w:rsidRDefault="00CE39A8" w:rsidP="00FF258A">
            <w:pPr>
              <w:rPr>
                <w:sz w:val="20"/>
              </w:rPr>
            </w:pPr>
            <w:r w:rsidRPr="00CE39A8">
              <w:rPr>
                <w:sz w:val="20"/>
              </w:rPr>
              <w:t>Author</w:t>
            </w:r>
          </w:p>
        </w:tc>
      </w:tr>
      <w:tr w:rsidR="00CE39A8" w:rsidRPr="00CE39A8" w14:paraId="5132BB8F" w14:textId="77777777" w:rsidTr="00FF258A">
        <w:tc>
          <w:tcPr>
            <w:tcW w:w="3017" w:type="dxa"/>
          </w:tcPr>
          <w:p w14:paraId="67BA38F6" w14:textId="77777777" w:rsidR="00CE39A8" w:rsidRPr="00CE39A8" w:rsidRDefault="00CE39A8" w:rsidP="00FF258A">
            <w:pPr>
              <w:rPr>
                <w:sz w:val="20"/>
              </w:rPr>
            </w:pPr>
            <w:r w:rsidRPr="00CE39A8">
              <w:rPr>
                <w:sz w:val="20"/>
              </w:rPr>
              <w:t>Version 1.0</w:t>
            </w:r>
          </w:p>
        </w:tc>
        <w:tc>
          <w:tcPr>
            <w:tcW w:w="2989" w:type="dxa"/>
          </w:tcPr>
          <w:p w14:paraId="6E282B4D" w14:textId="13778901" w:rsidR="00CE39A8" w:rsidRPr="00CE39A8" w:rsidRDefault="00CE39A8" w:rsidP="00FF258A">
            <w:pPr>
              <w:rPr>
                <w:sz w:val="20"/>
              </w:rPr>
            </w:pPr>
          </w:p>
        </w:tc>
        <w:tc>
          <w:tcPr>
            <w:tcW w:w="3010" w:type="dxa"/>
          </w:tcPr>
          <w:p w14:paraId="1612256E" w14:textId="6BCFB23E" w:rsidR="00CE39A8" w:rsidRPr="00CE39A8" w:rsidRDefault="00CE39A8" w:rsidP="00FF258A">
            <w:pPr>
              <w:rPr>
                <w:sz w:val="20"/>
              </w:rPr>
            </w:pPr>
          </w:p>
        </w:tc>
      </w:tr>
      <w:tr w:rsidR="00CE39A8" w:rsidRPr="00CE39A8" w14:paraId="6EA6E5B6" w14:textId="77777777" w:rsidTr="00FF258A">
        <w:tc>
          <w:tcPr>
            <w:tcW w:w="3017" w:type="dxa"/>
          </w:tcPr>
          <w:p w14:paraId="22524B8C" w14:textId="77777777" w:rsidR="00CE39A8" w:rsidRPr="00CE39A8" w:rsidRDefault="00CE39A8" w:rsidP="00FF258A">
            <w:pPr>
              <w:rPr>
                <w:sz w:val="20"/>
              </w:rPr>
            </w:pPr>
            <w:r w:rsidRPr="00CE39A8">
              <w:rPr>
                <w:sz w:val="20"/>
              </w:rPr>
              <w:t>Version 2.0</w:t>
            </w:r>
          </w:p>
        </w:tc>
        <w:tc>
          <w:tcPr>
            <w:tcW w:w="2989" w:type="dxa"/>
          </w:tcPr>
          <w:p w14:paraId="4A28F13B" w14:textId="19F5EE49" w:rsidR="00CE39A8" w:rsidRPr="00CE39A8" w:rsidRDefault="00CE39A8" w:rsidP="00FF258A">
            <w:pPr>
              <w:rPr>
                <w:sz w:val="20"/>
              </w:rPr>
            </w:pPr>
          </w:p>
        </w:tc>
        <w:tc>
          <w:tcPr>
            <w:tcW w:w="3010" w:type="dxa"/>
          </w:tcPr>
          <w:p w14:paraId="1FBB4731" w14:textId="0AC32071" w:rsidR="00CE39A8" w:rsidRPr="00CE39A8" w:rsidRDefault="00CE39A8" w:rsidP="00FF258A">
            <w:pPr>
              <w:rPr>
                <w:sz w:val="20"/>
              </w:rPr>
            </w:pPr>
          </w:p>
        </w:tc>
      </w:tr>
    </w:tbl>
    <w:p w14:paraId="40B84F89" w14:textId="77777777" w:rsidR="00CE39A8" w:rsidRPr="00CE39A8" w:rsidRDefault="00CE39A8" w:rsidP="00CE39A8">
      <w:pPr>
        <w:pStyle w:val="TRONormal"/>
        <w:rPr>
          <w:rFonts w:ascii="Calibri" w:hAnsi="Calibri"/>
          <w:sz w:val="20"/>
        </w:rPr>
      </w:pPr>
    </w:p>
    <w:p w14:paraId="79D024DE" w14:textId="77777777" w:rsidR="00CE39A8" w:rsidRPr="005C39A1" w:rsidRDefault="00CE39A8" w:rsidP="00CE39A8">
      <w:pPr>
        <w:pStyle w:val="TRONormal"/>
        <w:rPr>
          <w:rFonts w:ascii="Calibri" w:hAnsi="Calibri"/>
          <w:b/>
          <w:bCs/>
          <w:sz w:val="20"/>
        </w:rPr>
      </w:pPr>
      <w:r w:rsidRPr="005C39A1">
        <w:rPr>
          <w:rFonts w:ascii="Calibri" w:hAnsi="Calibri"/>
          <w:b/>
          <w:bCs/>
          <w:sz w:val="20"/>
        </w:rPr>
        <w:t>Details</w:t>
      </w:r>
    </w:p>
    <w:tbl>
      <w:tblPr>
        <w:tblStyle w:val="TableGrid"/>
        <w:tblW w:w="0" w:type="auto"/>
        <w:tblLook w:val="04A0" w:firstRow="1" w:lastRow="0" w:firstColumn="1" w:lastColumn="0" w:noHBand="0" w:noVBand="1"/>
      </w:tblPr>
      <w:tblGrid>
        <w:gridCol w:w="2628"/>
        <w:gridCol w:w="6388"/>
      </w:tblGrid>
      <w:tr w:rsidR="008A2D7E" w:rsidRPr="00CE39A8" w14:paraId="47B0C7EB" w14:textId="77777777" w:rsidTr="00FF258A">
        <w:trPr>
          <w:trHeight w:val="353"/>
        </w:trPr>
        <w:tc>
          <w:tcPr>
            <w:tcW w:w="3369" w:type="dxa"/>
          </w:tcPr>
          <w:p w14:paraId="412345BF" w14:textId="77777777" w:rsidR="00CE39A8" w:rsidRPr="00CE39A8" w:rsidRDefault="00CE39A8" w:rsidP="00FF258A">
            <w:pPr>
              <w:rPr>
                <w:sz w:val="20"/>
              </w:rPr>
            </w:pPr>
            <w:r w:rsidRPr="00CE39A8">
              <w:rPr>
                <w:sz w:val="20"/>
              </w:rPr>
              <w:t>Area responsible for Policy/Plan/Program</w:t>
            </w:r>
          </w:p>
        </w:tc>
        <w:tc>
          <w:tcPr>
            <w:tcW w:w="6486" w:type="dxa"/>
          </w:tcPr>
          <w:p w14:paraId="013775D9" w14:textId="77777777" w:rsidR="00CE39A8" w:rsidRPr="00CE39A8" w:rsidRDefault="00CE39A8" w:rsidP="00FF258A">
            <w:pPr>
              <w:rPr>
                <w:sz w:val="20"/>
              </w:rPr>
            </w:pPr>
            <w:r w:rsidRPr="00CE39A8">
              <w:rPr>
                <w:sz w:val="20"/>
              </w:rPr>
              <w:t>CTC</w:t>
            </w:r>
          </w:p>
        </w:tc>
      </w:tr>
      <w:tr w:rsidR="008A2D7E" w:rsidRPr="00CE39A8" w14:paraId="425C75E5" w14:textId="77777777" w:rsidTr="00FF258A">
        <w:trPr>
          <w:trHeight w:val="353"/>
        </w:trPr>
        <w:tc>
          <w:tcPr>
            <w:tcW w:w="3369" w:type="dxa"/>
          </w:tcPr>
          <w:p w14:paraId="63F26427" w14:textId="77777777" w:rsidR="00CE39A8" w:rsidRPr="00CE39A8" w:rsidRDefault="00CE39A8" w:rsidP="00FF258A">
            <w:pPr>
              <w:rPr>
                <w:sz w:val="20"/>
              </w:rPr>
            </w:pPr>
            <w:r w:rsidRPr="00CE39A8">
              <w:rPr>
                <w:sz w:val="20"/>
              </w:rPr>
              <w:t>Stakeholders</w:t>
            </w:r>
          </w:p>
        </w:tc>
        <w:tc>
          <w:tcPr>
            <w:tcW w:w="6486" w:type="dxa"/>
          </w:tcPr>
          <w:p w14:paraId="64F9130B" w14:textId="77777777" w:rsidR="00CE39A8" w:rsidRPr="00CE39A8" w:rsidRDefault="00CE39A8" w:rsidP="00FF258A">
            <w:pPr>
              <w:rPr>
                <w:sz w:val="20"/>
              </w:rPr>
            </w:pPr>
            <w:r w:rsidRPr="00CE39A8">
              <w:rPr>
                <w:sz w:val="20"/>
              </w:rPr>
              <w:t>CTC Staff</w:t>
            </w:r>
          </w:p>
        </w:tc>
      </w:tr>
      <w:tr w:rsidR="008A2D7E" w:rsidRPr="00CE39A8" w14:paraId="339F66B0" w14:textId="77777777" w:rsidTr="00FF258A">
        <w:trPr>
          <w:trHeight w:val="353"/>
        </w:trPr>
        <w:tc>
          <w:tcPr>
            <w:tcW w:w="3369" w:type="dxa"/>
          </w:tcPr>
          <w:p w14:paraId="7023B76B" w14:textId="77777777" w:rsidR="00CE39A8" w:rsidRPr="00CE39A8" w:rsidRDefault="00CE39A8" w:rsidP="00FF258A">
            <w:pPr>
              <w:rPr>
                <w:sz w:val="20"/>
              </w:rPr>
            </w:pPr>
            <w:r w:rsidRPr="00CE39A8">
              <w:rPr>
                <w:sz w:val="20"/>
              </w:rPr>
              <w:t>Document location</w:t>
            </w:r>
          </w:p>
        </w:tc>
        <w:tc>
          <w:tcPr>
            <w:tcW w:w="6486" w:type="dxa"/>
          </w:tcPr>
          <w:p w14:paraId="25406CEC" w14:textId="1480F8D8" w:rsidR="00CE39A8" w:rsidRPr="00CE39A8" w:rsidRDefault="00CE39A8" w:rsidP="00FF258A">
            <w:pPr>
              <w:rPr>
                <w:sz w:val="20"/>
              </w:rPr>
            </w:pPr>
            <w:r w:rsidRPr="00CE39A8">
              <w:rPr>
                <w:rStyle w:val="Hyperlink"/>
                <w:color w:val="auto"/>
                <w:sz w:val="20"/>
                <w:u w:val="none"/>
              </w:rPr>
              <w:t>G:\CFC\Staff\Documents\CTC\</w:t>
            </w:r>
            <w:r w:rsidR="008A2D7E">
              <w:rPr>
                <w:rStyle w:val="Hyperlink"/>
                <w:color w:val="auto"/>
                <w:sz w:val="20"/>
                <w:u w:val="none"/>
              </w:rPr>
              <w:t>L</w:t>
            </w:r>
            <w:r w:rsidR="008A2D7E" w:rsidRPr="008A2D7E">
              <w:rPr>
                <w:rStyle w:val="Hyperlink"/>
                <w:color w:val="auto"/>
                <w:sz w:val="20"/>
                <w:u w:val="none"/>
              </w:rPr>
              <w:t>ocalindependentartsengagementpolicy</w:t>
            </w:r>
            <w:r w:rsidRPr="00CE39A8">
              <w:rPr>
                <w:rStyle w:val="Hyperlink"/>
                <w:color w:val="auto"/>
                <w:sz w:val="20"/>
                <w:u w:val="none"/>
              </w:rPr>
              <w:t>.pdf</w:t>
            </w:r>
          </w:p>
        </w:tc>
      </w:tr>
      <w:tr w:rsidR="008A2D7E" w:rsidRPr="00CE39A8" w14:paraId="59787298" w14:textId="77777777" w:rsidTr="00FF258A">
        <w:trPr>
          <w:trHeight w:val="353"/>
        </w:trPr>
        <w:tc>
          <w:tcPr>
            <w:tcW w:w="3369" w:type="dxa"/>
          </w:tcPr>
          <w:p w14:paraId="05333652" w14:textId="77777777" w:rsidR="00CE39A8" w:rsidRPr="00CE39A8" w:rsidRDefault="00CE39A8" w:rsidP="00FF258A">
            <w:pPr>
              <w:rPr>
                <w:sz w:val="20"/>
              </w:rPr>
            </w:pPr>
            <w:r w:rsidRPr="00CE39A8">
              <w:rPr>
                <w:sz w:val="20"/>
              </w:rPr>
              <w:t>Record number and name</w:t>
            </w:r>
          </w:p>
        </w:tc>
        <w:tc>
          <w:tcPr>
            <w:tcW w:w="6486" w:type="dxa"/>
          </w:tcPr>
          <w:p w14:paraId="18B7AD1A" w14:textId="77777777" w:rsidR="00CE39A8" w:rsidRPr="00CE39A8" w:rsidRDefault="00CE39A8" w:rsidP="00FF258A">
            <w:pPr>
              <w:rPr>
                <w:sz w:val="20"/>
              </w:rPr>
            </w:pPr>
          </w:p>
        </w:tc>
      </w:tr>
      <w:tr w:rsidR="008A2D7E" w:rsidRPr="00CE39A8" w14:paraId="41BAA72F" w14:textId="77777777" w:rsidTr="00FF258A">
        <w:trPr>
          <w:trHeight w:val="353"/>
        </w:trPr>
        <w:tc>
          <w:tcPr>
            <w:tcW w:w="3369" w:type="dxa"/>
          </w:tcPr>
          <w:p w14:paraId="7CD11B3D" w14:textId="77777777" w:rsidR="00CE39A8" w:rsidRPr="00CE39A8" w:rsidRDefault="00CE39A8" w:rsidP="00FF258A">
            <w:pPr>
              <w:rPr>
                <w:sz w:val="20"/>
              </w:rPr>
            </w:pPr>
            <w:r w:rsidRPr="00CE39A8">
              <w:rPr>
                <w:sz w:val="20"/>
              </w:rPr>
              <w:t>Strategic Plan aligned</w:t>
            </w:r>
          </w:p>
        </w:tc>
        <w:tc>
          <w:tcPr>
            <w:tcW w:w="6486" w:type="dxa"/>
          </w:tcPr>
          <w:p w14:paraId="7D0EF42F" w14:textId="77777777" w:rsidR="00CE39A8" w:rsidRPr="00CE39A8" w:rsidRDefault="00CE39A8" w:rsidP="00FF258A">
            <w:pPr>
              <w:rPr>
                <w:sz w:val="20"/>
              </w:rPr>
            </w:pPr>
          </w:p>
        </w:tc>
      </w:tr>
    </w:tbl>
    <w:p w14:paraId="2051F05A" w14:textId="456C9599" w:rsidR="00947B5A" w:rsidRPr="005C39A1" w:rsidRDefault="00CE39A8" w:rsidP="00A33515">
      <w:pPr>
        <w:rPr>
          <w:sz w:val="20"/>
        </w:rPr>
      </w:pPr>
      <w:r w:rsidRPr="00AA7A7E">
        <w:rPr>
          <w:rFonts w:cstheme="minorHAnsi"/>
          <w:sz w:val="20"/>
          <w:szCs w:val="20"/>
        </w:rPr>
        <w:br w:type="page"/>
      </w:r>
    </w:p>
    <w:p w14:paraId="2C7F22A5" w14:textId="5952CDBF" w:rsidR="008A2D7E" w:rsidRPr="00EB662B" w:rsidRDefault="008A2D7E" w:rsidP="008A2D7E">
      <w:pPr>
        <w:pStyle w:val="Title"/>
        <w:jc w:val="left"/>
        <w:rPr>
          <w:sz w:val="22"/>
          <w:szCs w:val="22"/>
        </w:rPr>
      </w:pPr>
      <w:r w:rsidRPr="00EB662B">
        <w:rPr>
          <w:sz w:val="22"/>
          <w:szCs w:val="22"/>
        </w:rPr>
        <w:lastRenderedPageBreak/>
        <w:t>PURPOSE</w:t>
      </w:r>
    </w:p>
    <w:p w14:paraId="35F65EAC" w14:textId="58AC0E66" w:rsidR="008A2D7E" w:rsidRPr="008A2D7E" w:rsidRDefault="008A2D7E" w:rsidP="008A2D7E">
      <w:r w:rsidRPr="008A2D7E">
        <w:t>This Local Arts Engagement Policy has been developed for the following purposes:</w:t>
      </w:r>
    </w:p>
    <w:p w14:paraId="186967CF" w14:textId="600909FC" w:rsidR="008A2D7E" w:rsidRPr="008A2D7E" w:rsidRDefault="008A2D7E" w:rsidP="008A2D7E">
      <w:pPr>
        <w:pStyle w:val="Header"/>
        <w:numPr>
          <w:ilvl w:val="0"/>
          <w:numId w:val="9"/>
        </w:numPr>
        <w:tabs>
          <w:tab w:val="clear" w:pos="4513"/>
          <w:tab w:val="clear" w:pos="9026"/>
        </w:tabs>
        <w:spacing w:beforeAutospacing="0" w:afterAutospacing="0"/>
        <w:jc w:val="left"/>
        <w:rPr>
          <w:i w:val="0"/>
          <w:iCs/>
        </w:rPr>
      </w:pPr>
      <w:r w:rsidRPr="008A2D7E">
        <w:rPr>
          <w:i w:val="0"/>
          <w:iCs/>
        </w:rPr>
        <w:t>to provide a clear statement of the overall objectives for the structured support and engagement of local independent artists at Canberra Theatre Centre (the CTC), which is part of the Cultural Facilities Corporation (the CFC);</w:t>
      </w:r>
    </w:p>
    <w:p w14:paraId="4E085FCB" w14:textId="029A6700" w:rsidR="008A2D7E" w:rsidRPr="008A2D7E" w:rsidRDefault="008A2D7E" w:rsidP="008A2D7E">
      <w:pPr>
        <w:pStyle w:val="Header"/>
        <w:numPr>
          <w:ilvl w:val="0"/>
          <w:numId w:val="9"/>
        </w:numPr>
        <w:tabs>
          <w:tab w:val="clear" w:pos="4513"/>
          <w:tab w:val="clear" w:pos="9026"/>
        </w:tabs>
        <w:spacing w:beforeAutospacing="0" w:afterAutospacing="0"/>
        <w:jc w:val="left"/>
        <w:rPr>
          <w:i w:val="0"/>
          <w:iCs/>
        </w:rPr>
      </w:pPr>
      <w:r w:rsidRPr="008A2D7E">
        <w:rPr>
          <w:i w:val="0"/>
          <w:iCs/>
        </w:rPr>
        <w:t xml:space="preserve">to provide a framework against which the decisions to support and program the work of local independent artists generally will be made; and </w:t>
      </w:r>
    </w:p>
    <w:p w14:paraId="67395FED" w14:textId="125F857C" w:rsidR="008A2D7E" w:rsidRPr="008A2D7E" w:rsidRDefault="008A2D7E" w:rsidP="008A2D7E">
      <w:pPr>
        <w:pStyle w:val="Header"/>
        <w:numPr>
          <w:ilvl w:val="0"/>
          <w:numId w:val="9"/>
        </w:numPr>
        <w:tabs>
          <w:tab w:val="clear" w:pos="4513"/>
          <w:tab w:val="clear" w:pos="9026"/>
        </w:tabs>
        <w:spacing w:beforeAutospacing="0" w:afterAutospacing="0"/>
        <w:jc w:val="left"/>
        <w:rPr>
          <w:i w:val="0"/>
          <w:iCs/>
        </w:rPr>
      </w:pPr>
      <w:r w:rsidRPr="008A2D7E">
        <w:rPr>
          <w:i w:val="0"/>
          <w:iCs/>
        </w:rPr>
        <w:t>to provide a framework against which individual proposals for support and programming of local work will be assessed.</w:t>
      </w:r>
      <w:r>
        <w:rPr>
          <w:i w:val="0"/>
          <w:iCs/>
        </w:rPr>
        <w:br/>
      </w:r>
    </w:p>
    <w:p w14:paraId="74122E16" w14:textId="75909DB7" w:rsidR="008A2D7E" w:rsidRPr="008A2D7E" w:rsidRDefault="008A2D7E" w:rsidP="008A2D7E">
      <w:pPr>
        <w:pStyle w:val="Title"/>
        <w:jc w:val="left"/>
        <w:rPr>
          <w:b w:val="0"/>
          <w:sz w:val="22"/>
          <w:szCs w:val="22"/>
        </w:rPr>
      </w:pPr>
      <w:r w:rsidRPr="00EB662B">
        <w:rPr>
          <w:sz w:val="22"/>
          <w:szCs w:val="22"/>
        </w:rPr>
        <w:t>BACKGROUND</w:t>
      </w:r>
    </w:p>
    <w:p w14:paraId="4DA2C98C" w14:textId="6CE776A4" w:rsidR="008A2D7E" w:rsidRPr="008A2D7E" w:rsidRDefault="008A2D7E" w:rsidP="008A2D7E">
      <w:pPr>
        <w:rPr>
          <w:b/>
          <w:bCs/>
        </w:rPr>
      </w:pPr>
      <w:r w:rsidRPr="008A2D7E">
        <w:rPr>
          <w:b/>
          <w:bCs/>
        </w:rPr>
        <w:t>Corporate context</w:t>
      </w:r>
      <w:r>
        <w:rPr>
          <w:b/>
          <w:bCs/>
        </w:rPr>
        <w:br/>
      </w:r>
      <w:r w:rsidRPr="004431E0">
        <w:t xml:space="preserve">The Local Arts Engagement Policy has been developed in connection with the </w:t>
      </w:r>
      <w:r w:rsidRPr="009D1EA3">
        <w:rPr>
          <w:i/>
        </w:rPr>
        <w:t xml:space="preserve">CTC Programming </w:t>
      </w:r>
      <w:r w:rsidRPr="00F17559">
        <w:rPr>
          <w:i/>
          <w:iCs/>
        </w:rPr>
        <w:t>Strategy 2022-2025</w:t>
      </w:r>
      <w:r>
        <w:t xml:space="preserve"> and the CFC’s Strategic Plan, which identifies a goal to </w:t>
      </w:r>
      <w:r w:rsidRPr="00D9547E">
        <w:rPr>
          <w:i/>
        </w:rPr>
        <w:t xml:space="preserve">Contribute to, and nurture, the deepening of creativity in the ACT, </w:t>
      </w:r>
      <w:r w:rsidRPr="00D9547E">
        <w:rPr>
          <w:iCs/>
        </w:rPr>
        <w:t xml:space="preserve">and </w:t>
      </w:r>
      <w:r w:rsidRPr="00D9547E">
        <w:rPr>
          <w:i/>
        </w:rPr>
        <w:t>builds the Centre’s position as the creative heart of Canberra,</w:t>
      </w:r>
      <w:r w:rsidRPr="009D1EA3">
        <w:rPr>
          <w:i/>
        </w:rPr>
        <w:t xml:space="preserve"> </w:t>
      </w:r>
      <w:r w:rsidRPr="00D9547E">
        <w:t xml:space="preserve">as a long-term strategy for theatre programming. </w:t>
      </w:r>
      <w:r>
        <w:t xml:space="preserve">This policy is also developed in alignment with the ACT Government’s </w:t>
      </w:r>
      <w:r w:rsidRPr="00D9547E">
        <w:rPr>
          <w:i/>
          <w:iCs/>
        </w:rPr>
        <w:t>Canberra: Australia's Arts Capital a statement of ambition for the Arts 2021-2026</w:t>
      </w:r>
      <w:r>
        <w:rPr>
          <w:i/>
          <w:iCs/>
        </w:rPr>
        <w:t xml:space="preserve">, </w:t>
      </w:r>
      <w:r>
        <w:t xml:space="preserve">activating CTC’s role in </w:t>
      </w:r>
      <w:r w:rsidRPr="00D9547E">
        <w:rPr>
          <w:i/>
          <w:iCs/>
        </w:rPr>
        <w:t>developing arts, cultural and creative industry, practice and facilities— supporting creation and culture at all levels</w:t>
      </w:r>
      <w:r>
        <w:rPr>
          <w:i/>
          <w:iCs/>
        </w:rPr>
        <w:t>.</w:t>
      </w:r>
    </w:p>
    <w:p w14:paraId="02EEAD13" w14:textId="4D9A6C70" w:rsidR="008A2D7E" w:rsidRPr="008A2D7E" w:rsidRDefault="008A2D7E" w:rsidP="008A2D7E">
      <w:pPr>
        <w:rPr>
          <w:b/>
          <w:sz w:val="22"/>
          <w:szCs w:val="22"/>
        </w:rPr>
      </w:pPr>
      <w:r w:rsidRPr="008A2D7E">
        <w:rPr>
          <w:b/>
        </w:rPr>
        <w:t>Industry context</w:t>
      </w:r>
      <w:r>
        <w:rPr>
          <w:b/>
          <w:sz w:val="22"/>
          <w:szCs w:val="22"/>
        </w:rPr>
        <w:br/>
      </w:r>
      <w:r w:rsidRPr="00E22285">
        <w:t xml:space="preserve">As the </w:t>
      </w:r>
      <w:r>
        <w:t>national capital’s Theatre Centre</w:t>
      </w:r>
      <w:r w:rsidRPr="00E22285">
        <w:t xml:space="preserve">, </w:t>
      </w:r>
      <w:r>
        <w:t>CTC</w:t>
      </w:r>
      <w:r w:rsidRPr="00E22285">
        <w:t xml:space="preserve"> </w:t>
      </w:r>
      <w:r>
        <w:t>is in a unique position</w:t>
      </w:r>
      <w:r w:rsidRPr="00E22285">
        <w:t xml:space="preserve"> to develop, promote, and present local work alongside national and international content </w:t>
      </w:r>
      <w:r>
        <w:t>as part of a balanced program, and to provide a national context for local performing artists to develop and produce their work.</w:t>
      </w:r>
      <w:r w:rsidRPr="00E22285">
        <w:t xml:space="preserve"> </w:t>
      </w:r>
    </w:p>
    <w:p w14:paraId="54BC2B02" w14:textId="383ED3BD" w:rsidR="008A2D7E" w:rsidRDefault="008A2D7E" w:rsidP="008A2D7E">
      <w:pPr>
        <w:rPr>
          <w:sz w:val="22"/>
          <w:szCs w:val="22"/>
        </w:rPr>
      </w:pPr>
      <w:r w:rsidRPr="00E22285">
        <w:t xml:space="preserve">By providing opportunities for local independent artists to develop or showcase their work, </w:t>
      </w:r>
      <w:r>
        <w:t>CTC</w:t>
      </w:r>
      <w:r w:rsidRPr="00E22285">
        <w:t xml:space="preserve"> aims to strengthen </w:t>
      </w:r>
      <w:r>
        <w:t>its</w:t>
      </w:r>
      <w:r w:rsidRPr="00E22285">
        <w:t xml:space="preserve"> connection with the local Performing Arts </w:t>
      </w:r>
      <w:r>
        <w:t>ecology</w:t>
      </w:r>
      <w:r w:rsidRPr="00E22285">
        <w:t xml:space="preserve"> and build creative, community and</w:t>
      </w:r>
      <w:r>
        <w:t xml:space="preserve"> financial</w:t>
      </w:r>
      <w:r w:rsidRPr="00E22285">
        <w:t xml:space="preserve"> capacity within the sector. </w:t>
      </w:r>
    </w:p>
    <w:p w14:paraId="6A18A835" w14:textId="5C95E8DF" w:rsidR="008A2D7E" w:rsidRPr="008A2D7E" w:rsidRDefault="008A2D7E" w:rsidP="008A2D7E">
      <w:r w:rsidRPr="008A2D7E">
        <w:t>The CTC’s Local Arts Engagement Policy is directed at the following.</w:t>
      </w:r>
    </w:p>
    <w:p w14:paraId="66F50E66" w14:textId="071986CB" w:rsidR="008A2D7E" w:rsidRPr="008A2D7E" w:rsidRDefault="008A2D7E" w:rsidP="008A2D7E">
      <w:pPr>
        <w:numPr>
          <w:ilvl w:val="0"/>
          <w:numId w:val="10"/>
        </w:numPr>
        <w:spacing w:before="0" w:beforeAutospacing="0" w:afterAutospacing="0"/>
        <w:rPr>
          <w:rFonts w:asciiTheme="minorHAnsi" w:hAnsiTheme="minorHAnsi" w:cstheme="minorHAnsi"/>
        </w:rPr>
      </w:pPr>
      <w:r w:rsidRPr="008A2D7E">
        <w:rPr>
          <w:rFonts w:asciiTheme="minorHAnsi" w:hAnsiTheme="minorHAnsi" w:cstheme="minorHAnsi"/>
        </w:rPr>
        <w:t>Supporting the development of the ACT Performing Arts Sector.</w:t>
      </w:r>
    </w:p>
    <w:p w14:paraId="572B641A" w14:textId="53FB4668" w:rsidR="008A2D7E" w:rsidRPr="008A2D7E" w:rsidRDefault="008A2D7E" w:rsidP="008A2D7E">
      <w:pPr>
        <w:numPr>
          <w:ilvl w:val="0"/>
          <w:numId w:val="10"/>
        </w:numPr>
        <w:spacing w:before="0" w:beforeAutospacing="0" w:afterAutospacing="0"/>
        <w:rPr>
          <w:rFonts w:asciiTheme="minorHAnsi" w:hAnsiTheme="minorHAnsi" w:cstheme="minorHAnsi"/>
        </w:rPr>
      </w:pPr>
      <w:r w:rsidRPr="008A2D7E">
        <w:rPr>
          <w:rFonts w:asciiTheme="minorHAnsi" w:hAnsiTheme="minorHAnsi" w:cstheme="minorHAnsi"/>
        </w:rPr>
        <w:t>Providing a range of opportunities in a venue with high profile to local artists.</w:t>
      </w:r>
    </w:p>
    <w:p w14:paraId="02E563C4" w14:textId="21860FFB" w:rsidR="008A2D7E" w:rsidRPr="008A2D7E" w:rsidRDefault="008A2D7E" w:rsidP="008A2D7E">
      <w:pPr>
        <w:numPr>
          <w:ilvl w:val="0"/>
          <w:numId w:val="10"/>
        </w:numPr>
        <w:spacing w:before="0" w:beforeAutospacing="0" w:afterAutospacing="0"/>
        <w:rPr>
          <w:rFonts w:asciiTheme="minorHAnsi" w:hAnsiTheme="minorHAnsi" w:cstheme="minorHAnsi"/>
        </w:rPr>
      </w:pPr>
      <w:r w:rsidRPr="008A2D7E">
        <w:rPr>
          <w:rFonts w:asciiTheme="minorHAnsi" w:hAnsiTheme="minorHAnsi" w:cstheme="minorHAnsi"/>
        </w:rPr>
        <w:t xml:space="preserve">Strengthening CTC’s social and cultural connection to Canberra and the ACT. </w:t>
      </w:r>
    </w:p>
    <w:p w14:paraId="324ACC8C" w14:textId="67015302" w:rsidR="008A2D7E" w:rsidRPr="008A2D7E" w:rsidRDefault="008A2D7E" w:rsidP="008A2D7E">
      <w:pPr>
        <w:numPr>
          <w:ilvl w:val="0"/>
          <w:numId w:val="10"/>
        </w:numPr>
        <w:spacing w:before="0" w:beforeAutospacing="0" w:afterAutospacing="0"/>
        <w:rPr>
          <w:rFonts w:asciiTheme="minorHAnsi" w:hAnsiTheme="minorHAnsi" w:cstheme="minorHAnsi"/>
        </w:rPr>
      </w:pPr>
      <w:r w:rsidRPr="008A2D7E">
        <w:rPr>
          <w:rFonts w:asciiTheme="minorHAnsi" w:hAnsiTheme="minorHAnsi" w:cstheme="minorHAnsi"/>
        </w:rPr>
        <w:t>Presenting a broad range of high-quality live performances for the people of the ACT and visitors to Canberra that is inclusive of local work and representative of local cultural expression.</w:t>
      </w:r>
    </w:p>
    <w:p w14:paraId="7A95D8CB" w14:textId="77777777" w:rsidR="008A2D7E" w:rsidRPr="008A2D7E" w:rsidRDefault="008A2D7E" w:rsidP="008A2D7E">
      <w:pPr>
        <w:numPr>
          <w:ilvl w:val="0"/>
          <w:numId w:val="10"/>
        </w:numPr>
        <w:spacing w:before="0" w:beforeAutospacing="0" w:afterAutospacing="0"/>
        <w:rPr>
          <w:rFonts w:asciiTheme="minorHAnsi" w:hAnsiTheme="minorHAnsi" w:cstheme="minorHAnsi"/>
        </w:rPr>
      </w:pPr>
      <w:r w:rsidRPr="008A2D7E">
        <w:rPr>
          <w:rFonts w:asciiTheme="minorHAnsi" w:hAnsiTheme="minorHAnsi" w:cstheme="minorHAnsi"/>
        </w:rPr>
        <w:t>Providing intrinsic benefit to the people of the ACT through investment in innovation and the continued supply of quality performance works.</w:t>
      </w:r>
    </w:p>
    <w:p w14:paraId="61AADDF4" w14:textId="77777777" w:rsidR="008A2D7E" w:rsidRDefault="008A2D7E" w:rsidP="008A2D7E">
      <w:pPr>
        <w:pStyle w:val="ListParagraph"/>
        <w:rPr>
          <w:rFonts w:ascii="Arial" w:hAnsi="Arial"/>
          <w:sz w:val="22"/>
          <w:szCs w:val="22"/>
        </w:rPr>
      </w:pPr>
    </w:p>
    <w:p w14:paraId="7311BD5E" w14:textId="77777777" w:rsidR="008A2D7E" w:rsidRDefault="008A2D7E" w:rsidP="008A2D7E">
      <w:pPr>
        <w:rPr>
          <w:rFonts w:ascii="Arial" w:hAnsi="Arial"/>
          <w:b/>
          <w:sz w:val="22"/>
          <w:szCs w:val="22"/>
        </w:rPr>
      </w:pPr>
    </w:p>
    <w:p w14:paraId="6C4FE12A" w14:textId="465FEB3E" w:rsidR="008A2D7E" w:rsidRPr="00C35FF6" w:rsidRDefault="008A2D7E" w:rsidP="008A2D7E">
      <w:pPr>
        <w:rPr>
          <w:rFonts w:asciiTheme="minorHAnsi" w:hAnsiTheme="minorHAnsi" w:cstheme="minorHAnsi"/>
        </w:rPr>
      </w:pPr>
      <w:r w:rsidRPr="00C35FF6">
        <w:rPr>
          <w:rFonts w:asciiTheme="minorHAnsi" w:hAnsiTheme="minorHAnsi" w:cstheme="minorHAnsi"/>
          <w:b/>
        </w:rPr>
        <w:lastRenderedPageBreak/>
        <w:t>DEFINITION OF LOCAL INDEPENDENT ARTISTS</w:t>
      </w:r>
    </w:p>
    <w:p w14:paraId="788051AB" w14:textId="64DDD097" w:rsidR="008A2D7E" w:rsidRPr="00C35FF6" w:rsidRDefault="008A2D7E" w:rsidP="00C35FF6">
      <w:pPr>
        <w:rPr>
          <w:rFonts w:asciiTheme="minorHAnsi" w:hAnsiTheme="minorHAnsi" w:cstheme="minorHAnsi"/>
        </w:rPr>
      </w:pPr>
      <w:r w:rsidRPr="00C35FF6">
        <w:rPr>
          <w:rFonts w:asciiTheme="minorHAnsi" w:hAnsiTheme="minorHAnsi" w:cstheme="minorHAnsi"/>
        </w:rPr>
        <w:t xml:space="preserve">Local independent artists are defined as Canberra or Canberra-region based individuals or independent companies practicing at any stage of a professional arts career. This policy does not apply to amateur companies, or organisations currently receiving Key Arts Organisation funding. </w:t>
      </w:r>
    </w:p>
    <w:p w14:paraId="7CC12BA3" w14:textId="2C982991" w:rsidR="008A2D7E" w:rsidRPr="00C35FF6" w:rsidRDefault="008A2D7E" w:rsidP="00C35FF6">
      <w:pPr>
        <w:pStyle w:val="Header"/>
        <w:jc w:val="left"/>
        <w:rPr>
          <w:i w:val="0"/>
          <w:iCs/>
        </w:rPr>
      </w:pPr>
      <w:r w:rsidRPr="00C35FF6">
        <w:rPr>
          <w:i w:val="0"/>
          <w:iCs/>
        </w:rPr>
        <w:t xml:space="preserve">Performing arts genres suitable for structured support from CTC are as follows: </w:t>
      </w:r>
    </w:p>
    <w:p w14:paraId="19B3F917"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Children’s productions</w:t>
      </w:r>
    </w:p>
    <w:p w14:paraId="286797FC"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Classical Music – including choral, vocal and instrumental</w:t>
      </w:r>
    </w:p>
    <w:p w14:paraId="293E73F8"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Popular Music</w:t>
      </w:r>
    </w:p>
    <w:p w14:paraId="5BF3A744"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Experimental Music</w:t>
      </w:r>
    </w:p>
    <w:p w14:paraId="2D64C20E"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Circus, Physical Theatre and Burlesque</w:t>
      </w:r>
    </w:p>
    <w:p w14:paraId="0D757193"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Musical Theatre including Cabaret</w:t>
      </w:r>
    </w:p>
    <w:p w14:paraId="6D92C9C0"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Opera</w:t>
      </w:r>
    </w:p>
    <w:p w14:paraId="3352B12E"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Comedy and Spoken Word</w:t>
      </w:r>
    </w:p>
    <w:p w14:paraId="0663F0E1"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Dance – including ballet, contemporary, and cultural</w:t>
      </w:r>
    </w:p>
    <w:p w14:paraId="431C9FEF"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Theatre of all genres</w:t>
      </w:r>
    </w:p>
    <w:p w14:paraId="3C307681" w14:textId="77777777"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Cross Art collaboration</w:t>
      </w:r>
    </w:p>
    <w:p w14:paraId="39692A59" w14:textId="292A617E" w:rsidR="008A2D7E" w:rsidRPr="00C35FF6" w:rsidRDefault="008A2D7E" w:rsidP="008A2D7E">
      <w:pPr>
        <w:numPr>
          <w:ilvl w:val="0"/>
          <w:numId w:val="11"/>
        </w:numPr>
        <w:spacing w:before="0" w:beforeAutospacing="0" w:afterAutospacing="0"/>
        <w:ind w:left="360"/>
        <w:rPr>
          <w:rFonts w:asciiTheme="minorHAnsi" w:hAnsiTheme="minorHAnsi" w:cstheme="minorHAnsi"/>
        </w:rPr>
      </w:pPr>
      <w:r w:rsidRPr="00C35FF6">
        <w:rPr>
          <w:rFonts w:asciiTheme="minorHAnsi" w:hAnsiTheme="minorHAnsi" w:cstheme="minorHAnsi"/>
        </w:rPr>
        <w:t xml:space="preserve">Arts based Workshops or Presentations </w:t>
      </w:r>
    </w:p>
    <w:p w14:paraId="63FA5747" w14:textId="0436B238" w:rsidR="008A2D7E" w:rsidRPr="00C35FF6" w:rsidRDefault="008A2D7E" w:rsidP="00C35FF6">
      <w:pPr>
        <w:rPr>
          <w:rFonts w:asciiTheme="minorHAnsi" w:hAnsiTheme="minorHAnsi" w:cstheme="minorHAnsi"/>
          <w:b/>
        </w:rPr>
      </w:pPr>
      <w:r w:rsidRPr="00C35FF6">
        <w:rPr>
          <w:rFonts w:asciiTheme="minorHAnsi" w:hAnsiTheme="minorHAnsi" w:cstheme="minorHAnsi"/>
          <w:b/>
        </w:rPr>
        <w:t>DEFINITION OF SUPPORT</w:t>
      </w:r>
    </w:p>
    <w:p w14:paraId="29FF10C9" w14:textId="232B94EC" w:rsidR="008A2D7E" w:rsidRPr="00C35FF6" w:rsidRDefault="008A2D7E" w:rsidP="00C35FF6">
      <w:pPr>
        <w:pStyle w:val="NoSpacing"/>
        <w:rPr>
          <w:rFonts w:asciiTheme="minorHAnsi" w:hAnsiTheme="minorHAnsi" w:cstheme="minorHAnsi"/>
          <w:sz w:val="24"/>
          <w:szCs w:val="24"/>
        </w:rPr>
      </w:pPr>
      <w:r w:rsidRPr="00C35FF6">
        <w:rPr>
          <w:rFonts w:asciiTheme="minorHAnsi" w:hAnsiTheme="minorHAnsi" w:cstheme="minorHAnsi"/>
          <w:sz w:val="24"/>
          <w:szCs w:val="24"/>
        </w:rPr>
        <w:t>Dependent on the different needs of local independent artists, CTC negotiate support or investment in a variety of ways including but not limited to:</w:t>
      </w:r>
      <w:r w:rsidR="00C35FF6">
        <w:rPr>
          <w:rFonts w:asciiTheme="minorHAnsi" w:hAnsiTheme="minorHAnsi" w:cstheme="minorHAnsi"/>
          <w:sz w:val="24"/>
          <w:szCs w:val="24"/>
        </w:rPr>
        <w:br/>
      </w:r>
      <w:r w:rsidRPr="00C35FF6">
        <w:rPr>
          <w:rFonts w:asciiTheme="minorHAnsi" w:hAnsiTheme="minorHAnsi" w:cstheme="minorHAnsi"/>
          <w:sz w:val="24"/>
          <w:szCs w:val="24"/>
        </w:rPr>
        <w:t xml:space="preserve"> </w:t>
      </w:r>
    </w:p>
    <w:tbl>
      <w:tblPr>
        <w:tblW w:w="9356" w:type="dxa"/>
        <w:tblInd w:w="108" w:type="dxa"/>
        <w:tblLook w:val="04A0" w:firstRow="1" w:lastRow="0" w:firstColumn="1" w:lastColumn="0" w:noHBand="0" w:noVBand="1"/>
      </w:tblPr>
      <w:tblGrid>
        <w:gridCol w:w="2268"/>
        <w:gridCol w:w="7088"/>
      </w:tblGrid>
      <w:tr w:rsidR="008A2D7E" w:rsidRPr="00C35FF6" w14:paraId="04D0352C" w14:textId="77777777" w:rsidTr="007751A3">
        <w:tc>
          <w:tcPr>
            <w:tcW w:w="2268" w:type="dxa"/>
          </w:tcPr>
          <w:p w14:paraId="3933AA4A" w14:textId="77777777" w:rsidR="008A2D7E" w:rsidRPr="00C35FF6" w:rsidRDefault="008A2D7E" w:rsidP="008A2D7E">
            <w:pPr>
              <w:pStyle w:val="Header"/>
              <w:numPr>
                <w:ilvl w:val="0"/>
                <w:numId w:val="8"/>
              </w:numPr>
              <w:tabs>
                <w:tab w:val="clear" w:pos="4513"/>
                <w:tab w:val="clear" w:pos="9026"/>
              </w:tabs>
              <w:spacing w:beforeAutospacing="0" w:afterAutospacing="0"/>
              <w:jc w:val="left"/>
              <w:rPr>
                <w:rFonts w:asciiTheme="minorHAnsi" w:hAnsiTheme="minorHAnsi" w:cstheme="minorHAnsi"/>
                <w:i w:val="0"/>
                <w:iCs/>
              </w:rPr>
            </w:pPr>
            <w:r w:rsidRPr="00C35FF6">
              <w:rPr>
                <w:rFonts w:asciiTheme="minorHAnsi" w:hAnsiTheme="minorHAnsi" w:cstheme="minorHAnsi"/>
                <w:b/>
                <w:i w:val="0"/>
                <w:iCs/>
              </w:rPr>
              <w:t>Artist Fees</w:t>
            </w:r>
            <w:r w:rsidRPr="00C35FF6">
              <w:rPr>
                <w:rFonts w:asciiTheme="minorHAnsi" w:hAnsiTheme="minorHAnsi" w:cstheme="minorHAnsi"/>
                <w:i w:val="0"/>
                <w:iCs/>
              </w:rPr>
              <w:t xml:space="preserve">:  </w:t>
            </w:r>
          </w:p>
        </w:tc>
        <w:tc>
          <w:tcPr>
            <w:tcW w:w="7088" w:type="dxa"/>
          </w:tcPr>
          <w:p w14:paraId="62B2EA37" w14:textId="6D64E28D" w:rsidR="008A2D7E" w:rsidRPr="00C35FF6" w:rsidRDefault="008A2D7E" w:rsidP="00C35FF6">
            <w:pPr>
              <w:pStyle w:val="Header"/>
              <w:jc w:val="left"/>
              <w:rPr>
                <w:rFonts w:asciiTheme="minorHAnsi" w:hAnsiTheme="minorHAnsi" w:cstheme="minorHAnsi"/>
                <w:i w:val="0"/>
                <w:iCs/>
              </w:rPr>
            </w:pPr>
            <w:r w:rsidRPr="00C35FF6">
              <w:rPr>
                <w:rFonts w:asciiTheme="minorHAnsi" w:hAnsiTheme="minorHAnsi" w:cstheme="minorHAnsi"/>
                <w:i w:val="0"/>
                <w:iCs/>
              </w:rPr>
              <w:t>Individually negotiated artist fees for work developed and/or presented in partnership with CTC</w:t>
            </w:r>
            <w:r w:rsidR="00C35FF6">
              <w:rPr>
                <w:rFonts w:asciiTheme="minorHAnsi" w:hAnsiTheme="minorHAnsi" w:cstheme="minorHAnsi"/>
                <w:i w:val="0"/>
                <w:iCs/>
              </w:rPr>
              <w:t>.</w:t>
            </w:r>
          </w:p>
        </w:tc>
      </w:tr>
      <w:tr w:rsidR="008A2D7E" w:rsidRPr="00C35FF6" w14:paraId="0F2FF2D4" w14:textId="77777777" w:rsidTr="007751A3">
        <w:tc>
          <w:tcPr>
            <w:tcW w:w="2268" w:type="dxa"/>
          </w:tcPr>
          <w:p w14:paraId="42948FC2" w14:textId="77777777" w:rsidR="008A2D7E" w:rsidRPr="00C35FF6" w:rsidRDefault="008A2D7E" w:rsidP="008A2D7E">
            <w:pPr>
              <w:pStyle w:val="Header"/>
              <w:numPr>
                <w:ilvl w:val="0"/>
                <w:numId w:val="8"/>
              </w:numPr>
              <w:tabs>
                <w:tab w:val="clear" w:pos="4513"/>
                <w:tab w:val="clear" w:pos="9026"/>
              </w:tabs>
              <w:spacing w:beforeAutospacing="0" w:afterAutospacing="0"/>
              <w:jc w:val="left"/>
              <w:rPr>
                <w:rFonts w:asciiTheme="minorHAnsi" w:hAnsiTheme="minorHAnsi" w:cstheme="minorHAnsi"/>
                <w:i w:val="0"/>
                <w:iCs/>
              </w:rPr>
            </w:pPr>
            <w:r w:rsidRPr="00C35FF6">
              <w:rPr>
                <w:rFonts w:asciiTheme="minorHAnsi" w:hAnsiTheme="minorHAnsi" w:cstheme="minorHAnsi"/>
                <w:b/>
                <w:i w:val="0"/>
                <w:iCs/>
              </w:rPr>
              <w:t>Commissions</w:t>
            </w:r>
            <w:r w:rsidRPr="00C35FF6">
              <w:rPr>
                <w:rFonts w:asciiTheme="minorHAnsi" w:hAnsiTheme="minorHAnsi" w:cstheme="minorHAnsi"/>
                <w:i w:val="0"/>
                <w:iCs/>
              </w:rPr>
              <w:t xml:space="preserve">: </w:t>
            </w:r>
          </w:p>
        </w:tc>
        <w:tc>
          <w:tcPr>
            <w:tcW w:w="7088" w:type="dxa"/>
          </w:tcPr>
          <w:p w14:paraId="564E26B6" w14:textId="651C138D" w:rsidR="008A2D7E" w:rsidRPr="00C35FF6" w:rsidRDefault="008A2D7E" w:rsidP="00C35FF6">
            <w:pPr>
              <w:pStyle w:val="Header"/>
              <w:jc w:val="left"/>
              <w:rPr>
                <w:rFonts w:asciiTheme="minorHAnsi" w:hAnsiTheme="minorHAnsi" w:cstheme="minorHAnsi"/>
                <w:i w:val="0"/>
                <w:iCs/>
              </w:rPr>
            </w:pPr>
            <w:r w:rsidRPr="00C35FF6">
              <w:rPr>
                <w:rFonts w:asciiTheme="minorHAnsi" w:hAnsiTheme="minorHAnsi" w:cstheme="minorHAnsi"/>
                <w:i w:val="0"/>
                <w:iCs/>
              </w:rPr>
              <w:t>Individually negotiated commission fee to develop and/or produce a work for CTC.</w:t>
            </w:r>
          </w:p>
        </w:tc>
      </w:tr>
      <w:tr w:rsidR="008A2D7E" w:rsidRPr="00C35FF6" w14:paraId="2F29D5C7" w14:textId="77777777" w:rsidTr="007751A3">
        <w:tc>
          <w:tcPr>
            <w:tcW w:w="2268" w:type="dxa"/>
          </w:tcPr>
          <w:p w14:paraId="3D837945" w14:textId="77777777" w:rsidR="008A2D7E" w:rsidRPr="00C35FF6" w:rsidRDefault="008A2D7E" w:rsidP="008A2D7E">
            <w:pPr>
              <w:pStyle w:val="Header"/>
              <w:numPr>
                <w:ilvl w:val="0"/>
                <w:numId w:val="8"/>
              </w:numPr>
              <w:tabs>
                <w:tab w:val="clear" w:pos="4513"/>
                <w:tab w:val="clear" w:pos="9026"/>
              </w:tabs>
              <w:spacing w:beforeAutospacing="0" w:afterAutospacing="0"/>
              <w:jc w:val="left"/>
              <w:rPr>
                <w:rFonts w:asciiTheme="minorHAnsi" w:hAnsiTheme="minorHAnsi" w:cstheme="minorHAnsi"/>
                <w:b/>
                <w:i w:val="0"/>
                <w:iCs/>
              </w:rPr>
            </w:pPr>
            <w:r w:rsidRPr="00C35FF6">
              <w:rPr>
                <w:rFonts w:asciiTheme="minorHAnsi" w:hAnsiTheme="minorHAnsi" w:cstheme="minorHAnsi"/>
                <w:b/>
                <w:i w:val="0"/>
                <w:iCs/>
              </w:rPr>
              <w:t xml:space="preserve">Investment : </w:t>
            </w:r>
          </w:p>
        </w:tc>
        <w:tc>
          <w:tcPr>
            <w:tcW w:w="7088" w:type="dxa"/>
          </w:tcPr>
          <w:p w14:paraId="0753A692" w14:textId="0126ECA1" w:rsidR="008A2D7E" w:rsidRPr="00C35FF6" w:rsidRDefault="008A2D7E" w:rsidP="00C35FF6">
            <w:pPr>
              <w:pStyle w:val="Header"/>
              <w:jc w:val="left"/>
              <w:rPr>
                <w:rFonts w:asciiTheme="minorHAnsi" w:hAnsiTheme="minorHAnsi" w:cstheme="minorHAnsi"/>
                <w:i w:val="0"/>
                <w:iCs/>
                <w:u w:val="single"/>
              </w:rPr>
            </w:pPr>
            <w:r w:rsidRPr="00C35FF6">
              <w:rPr>
                <w:rFonts w:asciiTheme="minorHAnsi" w:hAnsiTheme="minorHAnsi" w:cstheme="minorHAnsi"/>
                <w:i w:val="0"/>
                <w:iCs/>
              </w:rPr>
              <w:t xml:space="preserve">Investment in a live performance product for presentation at the CTC, or investment in the creative development of a work which may not result in an immediate presentation. </w:t>
            </w:r>
          </w:p>
        </w:tc>
      </w:tr>
    </w:tbl>
    <w:p w14:paraId="72FB099C" w14:textId="77777777" w:rsidR="008A2D7E" w:rsidRDefault="008A2D7E" w:rsidP="008A2D7E">
      <w:pPr>
        <w:pStyle w:val="Title"/>
        <w:jc w:val="left"/>
        <w:rPr>
          <w:sz w:val="22"/>
          <w:szCs w:val="22"/>
        </w:rPr>
      </w:pPr>
    </w:p>
    <w:p w14:paraId="23AC891B" w14:textId="4D509F40" w:rsidR="008A2D7E" w:rsidRPr="00C35FF6" w:rsidRDefault="00C35FF6" w:rsidP="008A2D7E">
      <w:pPr>
        <w:pStyle w:val="Title"/>
        <w:jc w:val="left"/>
        <w:rPr>
          <w:rFonts w:asciiTheme="minorHAnsi" w:hAnsiTheme="minorHAnsi" w:cstheme="minorHAnsi"/>
        </w:rPr>
      </w:pPr>
      <w:r>
        <w:rPr>
          <w:sz w:val="22"/>
          <w:szCs w:val="22"/>
        </w:rPr>
        <w:br/>
      </w:r>
      <w:r w:rsidR="008A2D7E" w:rsidRPr="00C35FF6">
        <w:rPr>
          <w:rFonts w:asciiTheme="minorHAnsi" w:hAnsiTheme="minorHAnsi" w:cstheme="minorHAnsi"/>
        </w:rPr>
        <w:t>EXTENSION OF SUPPORT AND INVESTMENT</w:t>
      </w:r>
    </w:p>
    <w:p w14:paraId="2D1485C9" w14:textId="77777777" w:rsidR="008A2D7E" w:rsidRPr="00C35FF6" w:rsidRDefault="008A2D7E" w:rsidP="008A2D7E">
      <w:pPr>
        <w:pStyle w:val="Title"/>
        <w:jc w:val="left"/>
        <w:rPr>
          <w:rFonts w:asciiTheme="minorHAnsi" w:hAnsiTheme="minorHAnsi" w:cstheme="minorHAnsi"/>
        </w:rPr>
      </w:pPr>
    </w:p>
    <w:p w14:paraId="075D339C" w14:textId="77777777" w:rsidR="008A2D7E" w:rsidRPr="00C35FF6" w:rsidRDefault="008A2D7E" w:rsidP="008A2D7E">
      <w:pPr>
        <w:pStyle w:val="Title"/>
        <w:jc w:val="left"/>
        <w:rPr>
          <w:rFonts w:asciiTheme="minorHAnsi" w:hAnsiTheme="minorHAnsi" w:cstheme="minorHAnsi"/>
          <w:b w:val="0"/>
        </w:rPr>
      </w:pPr>
      <w:r w:rsidRPr="00C35FF6">
        <w:rPr>
          <w:rFonts w:asciiTheme="minorHAnsi" w:hAnsiTheme="minorHAnsi" w:cstheme="minorHAnsi"/>
          <w:b w:val="0"/>
        </w:rPr>
        <w:t xml:space="preserve">Support for the development and presentation of local productions is supported by the </w:t>
      </w:r>
      <w:r w:rsidRPr="00C35FF6">
        <w:rPr>
          <w:rFonts w:asciiTheme="minorHAnsi" w:hAnsiTheme="minorHAnsi" w:cstheme="minorHAnsi"/>
          <w:b w:val="0"/>
          <w:i/>
          <w:iCs/>
        </w:rPr>
        <w:t>New Works</w:t>
      </w:r>
      <w:r w:rsidRPr="00C35FF6">
        <w:rPr>
          <w:rFonts w:asciiTheme="minorHAnsi" w:hAnsiTheme="minorHAnsi" w:cstheme="minorHAnsi"/>
          <w:b w:val="0"/>
        </w:rPr>
        <w:t xml:space="preserve"> program. The number of projects and activities supported per year will be guided by the </w:t>
      </w:r>
      <w:r w:rsidRPr="00C35FF6">
        <w:rPr>
          <w:rFonts w:asciiTheme="minorHAnsi" w:hAnsiTheme="minorHAnsi" w:cstheme="minorHAnsi"/>
          <w:b w:val="0"/>
          <w:i/>
          <w:iCs/>
        </w:rPr>
        <w:t xml:space="preserve">New Works </w:t>
      </w:r>
      <w:r w:rsidRPr="00C35FF6">
        <w:rPr>
          <w:rFonts w:asciiTheme="minorHAnsi" w:hAnsiTheme="minorHAnsi" w:cstheme="minorHAnsi"/>
          <w:b w:val="0"/>
        </w:rPr>
        <w:t xml:space="preserve">budget, the quality of the applications received, and the needs of local sector.  </w:t>
      </w:r>
    </w:p>
    <w:p w14:paraId="1D919502" w14:textId="77777777" w:rsidR="008A2D7E" w:rsidRPr="00C35FF6" w:rsidRDefault="008A2D7E" w:rsidP="008A2D7E">
      <w:pPr>
        <w:pStyle w:val="Title"/>
        <w:jc w:val="left"/>
        <w:rPr>
          <w:rFonts w:asciiTheme="minorHAnsi" w:hAnsiTheme="minorHAnsi" w:cstheme="minorHAnsi"/>
        </w:rPr>
      </w:pPr>
    </w:p>
    <w:p w14:paraId="750E1D14" w14:textId="77777777" w:rsidR="008A2D7E" w:rsidRPr="00C35FF6" w:rsidRDefault="008A2D7E" w:rsidP="008A2D7E">
      <w:pPr>
        <w:pStyle w:val="Title"/>
        <w:jc w:val="left"/>
        <w:rPr>
          <w:rFonts w:asciiTheme="minorHAnsi" w:hAnsiTheme="minorHAnsi" w:cstheme="minorHAnsi"/>
          <w:b w:val="0"/>
        </w:rPr>
      </w:pPr>
      <w:r w:rsidRPr="00C35FF6">
        <w:rPr>
          <w:rFonts w:asciiTheme="minorHAnsi" w:hAnsiTheme="minorHAnsi" w:cstheme="minorHAnsi"/>
          <w:b w:val="0"/>
        </w:rPr>
        <w:t xml:space="preserve">Artists are encouraged to submit Expression of Interests for specific </w:t>
      </w:r>
      <w:r w:rsidRPr="00C35FF6">
        <w:rPr>
          <w:rFonts w:asciiTheme="minorHAnsi" w:hAnsiTheme="minorHAnsi" w:cstheme="minorHAnsi"/>
          <w:b w:val="0"/>
          <w:i/>
          <w:iCs/>
        </w:rPr>
        <w:t>New Works</w:t>
      </w:r>
      <w:r w:rsidRPr="00C35FF6">
        <w:rPr>
          <w:rFonts w:asciiTheme="minorHAnsi" w:hAnsiTheme="minorHAnsi" w:cstheme="minorHAnsi"/>
          <w:b w:val="0"/>
        </w:rPr>
        <w:t xml:space="preserve"> opportunities. Artists are also able to </w:t>
      </w:r>
      <w:proofErr w:type="gramStart"/>
      <w:r w:rsidRPr="00C35FF6">
        <w:rPr>
          <w:rFonts w:asciiTheme="minorHAnsi" w:hAnsiTheme="minorHAnsi" w:cstheme="minorHAnsi"/>
          <w:b w:val="0"/>
        </w:rPr>
        <w:t>make contact with</w:t>
      </w:r>
      <w:proofErr w:type="gramEnd"/>
      <w:r w:rsidRPr="00C35FF6">
        <w:rPr>
          <w:rFonts w:asciiTheme="minorHAnsi" w:hAnsiTheme="minorHAnsi" w:cstheme="minorHAnsi"/>
          <w:b w:val="0"/>
        </w:rPr>
        <w:t xml:space="preserve"> the Manger of New Works and Sector Engagement or the Programming team at any time to discuss their projects. These </w:t>
      </w:r>
      <w:r w:rsidRPr="00C35FF6">
        <w:rPr>
          <w:rFonts w:asciiTheme="minorHAnsi" w:hAnsiTheme="minorHAnsi" w:cstheme="minorHAnsi"/>
          <w:b w:val="0"/>
        </w:rPr>
        <w:lastRenderedPageBreak/>
        <w:t>will be reviewed against the following criteria, noting that not all criteria would need to be fully met by each proposal.</w:t>
      </w:r>
    </w:p>
    <w:p w14:paraId="451B42CA" w14:textId="77777777" w:rsidR="008A2D7E" w:rsidRPr="00C35FF6" w:rsidRDefault="008A2D7E" w:rsidP="008A2D7E">
      <w:pPr>
        <w:pStyle w:val="Title"/>
        <w:jc w:val="left"/>
        <w:rPr>
          <w:rFonts w:asciiTheme="minorHAnsi" w:hAnsiTheme="minorHAnsi" w:cstheme="minorHAnsi"/>
          <w:b w:val="0"/>
        </w:rPr>
      </w:pPr>
    </w:p>
    <w:p w14:paraId="05DB87A1" w14:textId="77777777" w:rsidR="00C35FF6" w:rsidRDefault="008A2D7E" w:rsidP="00C35FF6">
      <w:pPr>
        <w:pStyle w:val="Title"/>
        <w:numPr>
          <w:ilvl w:val="0"/>
          <w:numId w:val="12"/>
        </w:numPr>
        <w:jc w:val="left"/>
        <w:rPr>
          <w:rFonts w:asciiTheme="minorHAnsi" w:hAnsiTheme="minorHAnsi" w:cstheme="minorHAnsi"/>
        </w:rPr>
      </w:pPr>
      <w:r w:rsidRPr="00C35FF6">
        <w:rPr>
          <w:rFonts w:asciiTheme="minorHAnsi" w:hAnsiTheme="minorHAnsi" w:cstheme="minorHAnsi"/>
        </w:rPr>
        <w:t>Artistic and Cultural Value</w:t>
      </w:r>
    </w:p>
    <w:p w14:paraId="5A5E1533" w14:textId="51EED380" w:rsidR="008A2D7E" w:rsidRPr="00C35FF6" w:rsidRDefault="008A2D7E" w:rsidP="00C35FF6">
      <w:pPr>
        <w:pStyle w:val="Title"/>
        <w:jc w:val="left"/>
        <w:rPr>
          <w:rFonts w:asciiTheme="minorHAnsi" w:hAnsiTheme="minorHAnsi" w:cstheme="minorHAnsi"/>
          <w:b w:val="0"/>
          <w:bCs w:val="0"/>
        </w:rPr>
      </w:pPr>
      <w:r w:rsidRPr="00C35FF6">
        <w:rPr>
          <w:rFonts w:asciiTheme="minorHAnsi" w:hAnsiTheme="minorHAnsi" w:cstheme="minorHAnsi"/>
          <w:b w:val="0"/>
          <w:bCs w:val="0"/>
        </w:rPr>
        <w:t>The production or development promises to deliver or develop high quality, innovative work that engages and entertains, and that represents ACT artists and their work.</w:t>
      </w:r>
      <w:r w:rsidR="00C35FF6" w:rsidRPr="00C35FF6">
        <w:rPr>
          <w:rFonts w:asciiTheme="minorHAnsi" w:hAnsiTheme="minorHAnsi" w:cstheme="minorHAnsi"/>
          <w:b w:val="0"/>
          <w:bCs w:val="0"/>
        </w:rPr>
        <w:br/>
      </w:r>
    </w:p>
    <w:p w14:paraId="14C4A3D8" w14:textId="77777777" w:rsidR="00C35FF6" w:rsidRDefault="008A2D7E" w:rsidP="008A2D7E">
      <w:pPr>
        <w:pStyle w:val="Title"/>
        <w:numPr>
          <w:ilvl w:val="0"/>
          <w:numId w:val="12"/>
        </w:numPr>
        <w:jc w:val="left"/>
        <w:rPr>
          <w:rFonts w:asciiTheme="minorHAnsi" w:hAnsiTheme="minorHAnsi" w:cstheme="minorHAnsi"/>
        </w:rPr>
      </w:pPr>
      <w:r w:rsidRPr="00C35FF6">
        <w:rPr>
          <w:rFonts w:asciiTheme="minorHAnsi" w:hAnsiTheme="minorHAnsi" w:cstheme="minorHAnsi"/>
        </w:rPr>
        <w:t>Conceptual and Financial Viabilit</w:t>
      </w:r>
      <w:r w:rsidR="00C35FF6">
        <w:rPr>
          <w:rFonts w:asciiTheme="minorHAnsi" w:hAnsiTheme="minorHAnsi" w:cstheme="minorHAnsi"/>
        </w:rPr>
        <w:t>y</w:t>
      </w:r>
    </w:p>
    <w:p w14:paraId="4CAC39E0" w14:textId="56CE5D2D" w:rsidR="008A2D7E" w:rsidRPr="00C35FF6" w:rsidRDefault="008A2D7E" w:rsidP="00C35FF6">
      <w:pPr>
        <w:pStyle w:val="Title"/>
        <w:jc w:val="left"/>
        <w:rPr>
          <w:rFonts w:asciiTheme="minorHAnsi" w:hAnsiTheme="minorHAnsi" w:cstheme="minorHAnsi"/>
          <w:b w:val="0"/>
          <w:bCs w:val="0"/>
        </w:rPr>
      </w:pPr>
      <w:r w:rsidRPr="00C35FF6">
        <w:rPr>
          <w:rFonts w:asciiTheme="minorHAnsi" w:hAnsiTheme="minorHAnsi" w:cstheme="minorHAnsi"/>
          <w:b w:val="0"/>
          <w:bCs w:val="0"/>
        </w:rPr>
        <w:t xml:space="preserve">The production or development is deliverable and viable within limitations of the support that CTC </w:t>
      </w:r>
      <w:proofErr w:type="gramStart"/>
      <w:r w:rsidRPr="00C35FF6">
        <w:rPr>
          <w:rFonts w:asciiTheme="minorHAnsi" w:hAnsiTheme="minorHAnsi" w:cstheme="minorHAnsi"/>
          <w:b w:val="0"/>
          <w:bCs w:val="0"/>
        </w:rPr>
        <w:t>is able to</w:t>
      </w:r>
      <w:proofErr w:type="gramEnd"/>
      <w:r w:rsidRPr="00C35FF6">
        <w:rPr>
          <w:rFonts w:asciiTheme="minorHAnsi" w:hAnsiTheme="minorHAnsi" w:cstheme="minorHAnsi"/>
          <w:b w:val="0"/>
          <w:bCs w:val="0"/>
        </w:rPr>
        <w:t xml:space="preserve"> offer.  </w:t>
      </w:r>
      <w:r w:rsidR="00C35FF6">
        <w:rPr>
          <w:rFonts w:asciiTheme="minorHAnsi" w:hAnsiTheme="minorHAnsi" w:cstheme="minorHAnsi"/>
          <w:b w:val="0"/>
          <w:bCs w:val="0"/>
        </w:rPr>
        <w:br/>
      </w:r>
    </w:p>
    <w:p w14:paraId="6C54CBC0" w14:textId="77777777" w:rsidR="00C35FF6" w:rsidRDefault="008A2D7E" w:rsidP="008A2D7E">
      <w:pPr>
        <w:numPr>
          <w:ilvl w:val="0"/>
          <w:numId w:val="12"/>
        </w:numPr>
        <w:spacing w:before="0" w:beforeAutospacing="0" w:afterAutospacing="0"/>
        <w:rPr>
          <w:rFonts w:asciiTheme="minorHAnsi" w:hAnsiTheme="minorHAnsi" w:cstheme="minorHAnsi"/>
          <w:b/>
        </w:rPr>
      </w:pPr>
      <w:r w:rsidRPr="00C35FF6">
        <w:rPr>
          <w:rFonts w:asciiTheme="minorHAnsi" w:hAnsiTheme="minorHAnsi" w:cstheme="minorHAnsi"/>
          <w:b/>
        </w:rPr>
        <w:t>Compatibility with CTC’s Program</w:t>
      </w:r>
    </w:p>
    <w:p w14:paraId="645D79E8" w14:textId="0C1977FE" w:rsidR="008A2D7E" w:rsidRPr="00C35FF6" w:rsidRDefault="008A2D7E" w:rsidP="00C35FF6">
      <w:pPr>
        <w:spacing w:before="0" w:beforeAutospacing="0" w:afterAutospacing="0"/>
        <w:rPr>
          <w:rFonts w:asciiTheme="minorHAnsi" w:hAnsiTheme="minorHAnsi" w:cstheme="minorHAnsi"/>
          <w:b/>
        </w:rPr>
      </w:pPr>
      <w:r w:rsidRPr="00C35FF6">
        <w:rPr>
          <w:rFonts w:asciiTheme="minorHAnsi" w:hAnsiTheme="minorHAnsi" w:cstheme="minorHAnsi"/>
        </w:rPr>
        <w:t xml:space="preserve">The production or development is complementary with other work at the CTC. </w:t>
      </w:r>
      <w:r w:rsidR="00C35FF6">
        <w:rPr>
          <w:rFonts w:asciiTheme="minorHAnsi" w:hAnsiTheme="minorHAnsi" w:cstheme="minorHAnsi"/>
        </w:rPr>
        <w:br/>
      </w:r>
    </w:p>
    <w:p w14:paraId="767150C5" w14:textId="77777777" w:rsidR="00C35FF6" w:rsidRDefault="008A2D7E" w:rsidP="008A2D7E">
      <w:pPr>
        <w:pStyle w:val="Title"/>
        <w:numPr>
          <w:ilvl w:val="0"/>
          <w:numId w:val="12"/>
        </w:numPr>
        <w:jc w:val="left"/>
        <w:rPr>
          <w:rFonts w:asciiTheme="minorHAnsi" w:hAnsiTheme="minorHAnsi" w:cstheme="minorHAnsi"/>
        </w:rPr>
      </w:pPr>
      <w:r w:rsidRPr="00C35FF6">
        <w:rPr>
          <w:rFonts w:asciiTheme="minorHAnsi" w:hAnsiTheme="minorHAnsi" w:cstheme="minorHAnsi"/>
        </w:rPr>
        <w:t>Build Capacity</w:t>
      </w:r>
    </w:p>
    <w:p w14:paraId="77AD60CE" w14:textId="74349D09" w:rsidR="008A2D7E" w:rsidRPr="00C35FF6" w:rsidRDefault="008A2D7E" w:rsidP="00C35FF6">
      <w:pPr>
        <w:pStyle w:val="Title"/>
        <w:jc w:val="left"/>
        <w:rPr>
          <w:rFonts w:asciiTheme="minorHAnsi" w:hAnsiTheme="minorHAnsi" w:cstheme="minorHAnsi"/>
          <w:b w:val="0"/>
          <w:bCs w:val="0"/>
        </w:rPr>
      </w:pPr>
      <w:r w:rsidRPr="00C35FF6">
        <w:rPr>
          <w:rFonts w:asciiTheme="minorHAnsi" w:hAnsiTheme="minorHAnsi" w:cstheme="minorHAnsi"/>
          <w:b w:val="0"/>
          <w:bCs w:val="0"/>
        </w:rPr>
        <w:t xml:space="preserve">The production or development provides opportunities for local artists to extend their practice and build their profile on a local or national scale with the aim of producing work of national significance. </w:t>
      </w:r>
    </w:p>
    <w:p w14:paraId="217962C6" w14:textId="77777777" w:rsidR="00C35FF6" w:rsidRPr="00C35FF6" w:rsidRDefault="00C35FF6" w:rsidP="00C35FF6">
      <w:pPr>
        <w:pStyle w:val="Title"/>
        <w:jc w:val="left"/>
        <w:rPr>
          <w:rFonts w:asciiTheme="minorHAnsi" w:hAnsiTheme="minorHAnsi" w:cstheme="minorHAnsi"/>
        </w:rPr>
      </w:pPr>
    </w:p>
    <w:p w14:paraId="760C0EA2" w14:textId="77777777" w:rsidR="00C35FF6" w:rsidRDefault="008A2D7E" w:rsidP="00C35FF6">
      <w:pPr>
        <w:numPr>
          <w:ilvl w:val="0"/>
          <w:numId w:val="12"/>
        </w:numPr>
        <w:spacing w:before="0" w:beforeAutospacing="0" w:afterAutospacing="0"/>
        <w:rPr>
          <w:rFonts w:asciiTheme="minorHAnsi" w:hAnsiTheme="minorHAnsi" w:cstheme="minorHAnsi"/>
          <w:b/>
        </w:rPr>
      </w:pPr>
      <w:r w:rsidRPr="00C35FF6">
        <w:rPr>
          <w:rFonts w:asciiTheme="minorHAnsi" w:hAnsiTheme="minorHAnsi" w:cstheme="minorHAnsi"/>
          <w:b/>
        </w:rPr>
        <w:t>Audience Development</w:t>
      </w:r>
    </w:p>
    <w:p w14:paraId="719B221F" w14:textId="479A5975" w:rsidR="008A2D7E" w:rsidRPr="00C35FF6" w:rsidRDefault="008A2D7E" w:rsidP="00C35FF6">
      <w:pPr>
        <w:spacing w:before="0" w:beforeAutospacing="0" w:afterAutospacing="0"/>
        <w:rPr>
          <w:rFonts w:asciiTheme="minorHAnsi" w:hAnsiTheme="minorHAnsi" w:cstheme="minorHAnsi"/>
          <w:b/>
        </w:rPr>
      </w:pPr>
      <w:r w:rsidRPr="00C35FF6">
        <w:rPr>
          <w:rFonts w:asciiTheme="minorHAnsi" w:hAnsiTheme="minorHAnsi" w:cstheme="minorHAnsi"/>
        </w:rPr>
        <w:t xml:space="preserve">The production or development assists CTC to connect with new audiences, with a particular focus on young people. </w:t>
      </w:r>
      <w:r w:rsidR="00C35FF6">
        <w:rPr>
          <w:rFonts w:asciiTheme="minorHAnsi" w:hAnsiTheme="minorHAnsi" w:cstheme="minorHAnsi"/>
        </w:rPr>
        <w:br/>
      </w:r>
    </w:p>
    <w:p w14:paraId="686C1ABF" w14:textId="77777777" w:rsidR="00C35FF6" w:rsidRDefault="008A2D7E" w:rsidP="008A2D7E">
      <w:pPr>
        <w:pStyle w:val="Title"/>
        <w:numPr>
          <w:ilvl w:val="0"/>
          <w:numId w:val="12"/>
        </w:numPr>
        <w:jc w:val="left"/>
        <w:rPr>
          <w:rFonts w:asciiTheme="minorHAnsi" w:hAnsiTheme="minorHAnsi" w:cstheme="minorHAnsi"/>
        </w:rPr>
      </w:pPr>
      <w:r w:rsidRPr="00C35FF6">
        <w:rPr>
          <w:rFonts w:asciiTheme="minorHAnsi" w:hAnsiTheme="minorHAnsi" w:cstheme="minorHAnsi"/>
        </w:rPr>
        <w:t>Equity, Diversity, and Inclusivity</w:t>
      </w:r>
    </w:p>
    <w:p w14:paraId="19C34FD5" w14:textId="164AF3B2" w:rsidR="008A2D7E" w:rsidRPr="00C35FF6" w:rsidRDefault="008A2D7E" w:rsidP="008A2D7E">
      <w:pPr>
        <w:pStyle w:val="Title"/>
        <w:jc w:val="left"/>
        <w:rPr>
          <w:rFonts w:asciiTheme="minorHAnsi" w:hAnsiTheme="minorHAnsi" w:cstheme="minorHAnsi"/>
          <w:b w:val="0"/>
          <w:bCs w:val="0"/>
        </w:rPr>
      </w:pPr>
      <w:r w:rsidRPr="00C35FF6">
        <w:rPr>
          <w:rFonts w:asciiTheme="minorHAnsi" w:hAnsiTheme="minorHAnsi" w:cstheme="minorHAnsi"/>
          <w:b w:val="0"/>
          <w:bCs w:val="0"/>
        </w:rPr>
        <w:t xml:space="preserve">The production or development is culturally diverse, and inclusive, and contributes to the overall diversity and equity of the CTC Program. </w:t>
      </w:r>
    </w:p>
    <w:p w14:paraId="74DA6735" w14:textId="77777777" w:rsidR="008A2D7E" w:rsidRDefault="008A2D7E" w:rsidP="008A2D7E">
      <w:pPr>
        <w:pStyle w:val="Title"/>
        <w:jc w:val="left"/>
        <w:rPr>
          <w:sz w:val="22"/>
          <w:szCs w:val="22"/>
        </w:rPr>
      </w:pPr>
    </w:p>
    <w:p w14:paraId="79B64B5F" w14:textId="77777777" w:rsidR="008A2D7E" w:rsidRDefault="008A2D7E" w:rsidP="008A2D7E">
      <w:pPr>
        <w:pStyle w:val="Title"/>
        <w:jc w:val="left"/>
        <w:rPr>
          <w:sz w:val="22"/>
          <w:szCs w:val="22"/>
        </w:rPr>
      </w:pPr>
    </w:p>
    <w:p w14:paraId="15DD169D" w14:textId="5AE68AA5" w:rsidR="008A2D7E" w:rsidRPr="00C35FF6" w:rsidRDefault="008A2D7E" w:rsidP="00C35FF6">
      <w:pPr>
        <w:pStyle w:val="Title"/>
        <w:jc w:val="left"/>
        <w:rPr>
          <w:rFonts w:asciiTheme="minorHAnsi" w:hAnsiTheme="minorHAnsi" w:cstheme="minorHAnsi"/>
          <w:b w:val="0"/>
        </w:rPr>
      </w:pPr>
      <w:r w:rsidRPr="00C35FF6">
        <w:rPr>
          <w:rFonts w:asciiTheme="minorHAnsi" w:hAnsiTheme="minorHAnsi" w:cstheme="minorHAnsi"/>
        </w:rPr>
        <w:t>CONCLUSION</w:t>
      </w:r>
    </w:p>
    <w:p w14:paraId="28DBC72E" w14:textId="5961BFD2" w:rsidR="008A2D7E" w:rsidRPr="00C35FF6" w:rsidRDefault="008A2D7E" w:rsidP="008A2D7E">
      <w:pPr>
        <w:rPr>
          <w:rFonts w:asciiTheme="minorHAnsi" w:hAnsiTheme="minorHAnsi" w:cstheme="minorHAnsi"/>
          <w:lang w:val="en-GB"/>
        </w:rPr>
      </w:pPr>
      <w:r w:rsidRPr="00C35FF6">
        <w:rPr>
          <w:rFonts w:asciiTheme="minorHAnsi" w:hAnsiTheme="minorHAnsi" w:cstheme="minorHAnsi"/>
          <w:lang w:val="en-GB"/>
        </w:rPr>
        <w:t xml:space="preserve">This Local </w:t>
      </w:r>
      <w:r w:rsidR="00C35FF6" w:rsidRPr="00C35FF6">
        <w:rPr>
          <w:rFonts w:asciiTheme="minorHAnsi" w:hAnsiTheme="minorHAnsi" w:cstheme="minorHAnsi"/>
          <w:lang w:val="en-GB"/>
        </w:rPr>
        <w:t>A</w:t>
      </w:r>
      <w:r w:rsidRPr="00C35FF6">
        <w:rPr>
          <w:rFonts w:asciiTheme="minorHAnsi" w:hAnsiTheme="minorHAnsi" w:cstheme="minorHAnsi"/>
          <w:lang w:val="en-GB"/>
        </w:rPr>
        <w:t>rts Engagement Policy guides all decisions to support local independent artists and their work.</w:t>
      </w:r>
    </w:p>
    <w:p w14:paraId="7D72DE98" w14:textId="67D45C40" w:rsidR="008A2D7E" w:rsidRPr="00C35FF6" w:rsidRDefault="008A2D7E" w:rsidP="008A2D7E">
      <w:pPr>
        <w:rPr>
          <w:rFonts w:asciiTheme="minorHAnsi" w:hAnsiTheme="minorHAnsi" w:cstheme="minorHAnsi"/>
        </w:rPr>
      </w:pPr>
      <w:r w:rsidRPr="00C35FF6">
        <w:rPr>
          <w:rFonts w:asciiTheme="minorHAnsi" w:hAnsiTheme="minorHAnsi" w:cstheme="minorHAnsi"/>
        </w:rPr>
        <w:t>Decisions will be final and not form a partnership or ongoing relationship.</w:t>
      </w:r>
      <w:r w:rsidR="00C35FF6" w:rsidRPr="00C35FF6">
        <w:rPr>
          <w:rFonts w:asciiTheme="minorHAnsi" w:hAnsiTheme="minorHAnsi" w:cstheme="minorHAnsi"/>
        </w:rPr>
        <w:br/>
      </w:r>
    </w:p>
    <w:p w14:paraId="3AD2652E" w14:textId="77777777" w:rsidR="008A2D7E" w:rsidRPr="00C35FF6" w:rsidRDefault="008A2D7E" w:rsidP="008A2D7E">
      <w:pPr>
        <w:pStyle w:val="Title"/>
        <w:jc w:val="left"/>
        <w:rPr>
          <w:rFonts w:asciiTheme="minorHAnsi" w:hAnsiTheme="minorHAnsi" w:cstheme="minorHAnsi"/>
        </w:rPr>
      </w:pPr>
      <w:r w:rsidRPr="00C35FF6">
        <w:rPr>
          <w:rFonts w:asciiTheme="minorHAnsi" w:hAnsiTheme="minorHAnsi" w:cstheme="minorHAnsi"/>
        </w:rPr>
        <w:t>REVIEW OF THIS POLICY</w:t>
      </w:r>
    </w:p>
    <w:p w14:paraId="68214436" w14:textId="58E403AD" w:rsidR="00947B5A" w:rsidRPr="00C35FF6" w:rsidRDefault="008A2D7E" w:rsidP="00C35FF6">
      <w:pPr>
        <w:tabs>
          <w:tab w:val="left" w:pos="744"/>
        </w:tabs>
        <w:rPr>
          <w:rFonts w:asciiTheme="minorHAnsi" w:hAnsiTheme="minorHAnsi" w:cstheme="minorHAnsi"/>
        </w:rPr>
      </w:pPr>
      <w:r w:rsidRPr="00C35FF6">
        <w:rPr>
          <w:rFonts w:asciiTheme="minorHAnsi" w:hAnsiTheme="minorHAnsi" w:cstheme="minorHAnsi"/>
        </w:rPr>
        <w:t>This Policy will be reviewed every three years, or earlier if required, to ensure its ongoing relevance and appropriateness, and will be made available on request.</w:t>
      </w:r>
    </w:p>
    <w:sectPr w:rsidR="00947B5A" w:rsidRPr="00C35FF6" w:rsidSect="00947B5A">
      <w:headerReference w:type="even" r:id="rId8"/>
      <w:headerReference w:type="default"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CBE6" w14:textId="77777777" w:rsidR="00026433" w:rsidRDefault="00026433" w:rsidP="00A33515">
      <w:r>
        <w:separator/>
      </w:r>
    </w:p>
    <w:p w14:paraId="462CF8F1" w14:textId="77777777" w:rsidR="00026433" w:rsidRDefault="00026433" w:rsidP="00A33515"/>
    <w:p w14:paraId="46570CD8" w14:textId="77777777" w:rsidR="00026433" w:rsidRDefault="00026433" w:rsidP="00A33515"/>
    <w:p w14:paraId="14948566" w14:textId="77777777" w:rsidR="00026433" w:rsidRDefault="00026433" w:rsidP="00A33515"/>
    <w:p w14:paraId="20CE661C" w14:textId="77777777" w:rsidR="00026433" w:rsidRDefault="00026433" w:rsidP="00A33515"/>
    <w:p w14:paraId="293001A9" w14:textId="77777777" w:rsidR="00026433" w:rsidRDefault="00026433" w:rsidP="00A33515"/>
    <w:p w14:paraId="31BC80CB" w14:textId="77777777" w:rsidR="00026433" w:rsidRDefault="00026433" w:rsidP="00A33515"/>
    <w:p w14:paraId="27A5C1C4" w14:textId="77777777" w:rsidR="00026433" w:rsidRDefault="00026433" w:rsidP="00A33515"/>
    <w:p w14:paraId="1D0743C3" w14:textId="77777777" w:rsidR="00026433" w:rsidRDefault="00026433" w:rsidP="00A33515"/>
    <w:p w14:paraId="3ABF5539" w14:textId="77777777" w:rsidR="00026433" w:rsidRDefault="00026433" w:rsidP="00A33515"/>
    <w:p w14:paraId="59354D30" w14:textId="77777777" w:rsidR="00026433" w:rsidRDefault="00026433" w:rsidP="00A33515"/>
    <w:p w14:paraId="6CDF1056" w14:textId="77777777" w:rsidR="00026433" w:rsidRDefault="00026433" w:rsidP="00A33515"/>
    <w:p w14:paraId="4482B4A5" w14:textId="77777777" w:rsidR="00026433" w:rsidRDefault="00026433" w:rsidP="00A33515"/>
    <w:p w14:paraId="3705E8AC" w14:textId="77777777" w:rsidR="004A46E7" w:rsidRDefault="004A46E7"/>
    <w:p w14:paraId="74044DC7" w14:textId="77777777" w:rsidR="004A46E7" w:rsidRDefault="004A46E7" w:rsidP="00800F5A"/>
    <w:p w14:paraId="4F260EF3" w14:textId="77777777" w:rsidR="004A46E7" w:rsidRDefault="004A46E7" w:rsidP="00800F5A"/>
    <w:p w14:paraId="34897D6C" w14:textId="77777777" w:rsidR="001152A4" w:rsidRDefault="001152A4"/>
    <w:p w14:paraId="57201DFF" w14:textId="77777777" w:rsidR="001152A4" w:rsidRDefault="001152A4" w:rsidP="00CE39A8"/>
    <w:p w14:paraId="2C94F1A6" w14:textId="77777777" w:rsidR="001152A4" w:rsidRDefault="001152A4" w:rsidP="005C39A1"/>
    <w:p w14:paraId="6EE346EE" w14:textId="77777777" w:rsidR="0050193C" w:rsidRDefault="0050193C"/>
    <w:p w14:paraId="173D4772" w14:textId="77777777" w:rsidR="0050193C" w:rsidRDefault="0050193C" w:rsidP="008A2D7E"/>
    <w:p w14:paraId="214A370A" w14:textId="77777777" w:rsidR="0050193C" w:rsidRDefault="0050193C" w:rsidP="008A2D7E"/>
    <w:p w14:paraId="117629CE" w14:textId="77777777" w:rsidR="0050193C" w:rsidRDefault="0050193C" w:rsidP="008A2D7E"/>
  </w:endnote>
  <w:endnote w:type="continuationSeparator" w:id="0">
    <w:p w14:paraId="1F661981" w14:textId="77777777" w:rsidR="00026433" w:rsidRDefault="00026433" w:rsidP="00A33515">
      <w:r>
        <w:continuationSeparator/>
      </w:r>
    </w:p>
    <w:p w14:paraId="2AED39F7" w14:textId="77777777" w:rsidR="00026433" w:rsidRDefault="00026433" w:rsidP="00A33515"/>
    <w:p w14:paraId="69D572DF" w14:textId="77777777" w:rsidR="00026433" w:rsidRDefault="00026433" w:rsidP="00A33515"/>
    <w:p w14:paraId="3CA4D36B" w14:textId="77777777" w:rsidR="00026433" w:rsidRDefault="00026433" w:rsidP="00A33515"/>
    <w:p w14:paraId="1A4F73C2" w14:textId="77777777" w:rsidR="00026433" w:rsidRDefault="00026433" w:rsidP="00A33515"/>
    <w:p w14:paraId="7518A2AE" w14:textId="77777777" w:rsidR="00026433" w:rsidRDefault="00026433" w:rsidP="00A33515"/>
    <w:p w14:paraId="4D25D8CF" w14:textId="77777777" w:rsidR="00026433" w:rsidRDefault="00026433" w:rsidP="00A33515"/>
    <w:p w14:paraId="3FFB50BF" w14:textId="77777777" w:rsidR="00026433" w:rsidRDefault="00026433" w:rsidP="00A33515"/>
    <w:p w14:paraId="2755772B" w14:textId="77777777" w:rsidR="00026433" w:rsidRDefault="00026433" w:rsidP="00A33515"/>
    <w:p w14:paraId="14C986EA" w14:textId="77777777" w:rsidR="00026433" w:rsidRDefault="00026433" w:rsidP="00A33515"/>
    <w:p w14:paraId="12496DC4" w14:textId="77777777" w:rsidR="00026433" w:rsidRDefault="00026433" w:rsidP="00A33515"/>
    <w:p w14:paraId="2604B8DE" w14:textId="77777777" w:rsidR="00026433" w:rsidRDefault="00026433" w:rsidP="00A33515"/>
    <w:p w14:paraId="1E34ED20" w14:textId="77777777" w:rsidR="00026433" w:rsidRDefault="00026433" w:rsidP="00A33515"/>
    <w:p w14:paraId="04C2D2C0" w14:textId="77777777" w:rsidR="004A46E7" w:rsidRDefault="004A46E7"/>
    <w:p w14:paraId="346A4EF1" w14:textId="77777777" w:rsidR="004A46E7" w:rsidRDefault="004A46E7" w:rsidP="00800F5A"/>
    <w:p w14:paraId="556F3A66" w14:textId="77777777" w:rsidR="004A46E7" w:rsidRDefault="004A46E7" w:rsidP="00800F5A"/>
    <w:p w14:paraId="61D094A8" w14:textId="77777777" w:rsidR="001152A4" w:rsidRDefault="001152A4"/>
    <w:p w14:paraId="750BBB67" w14:textId="77777777" w:rsidR="001152A4" w:rsidRDefault="001152A4" w:rsidP="00CE39A8"/>
    <w:p w14:paraId="20B4FB6D" w14:textId="77777777" w:rsidR="001152A4" w:rsidRDefault="001152A4" w:rsidP="005C39A1"/>
    <w:p w14:paraId="658F545C" w14:textId="77777777" w:rsidR="0050193C" w:rsidRDefault="0050193C"/>
    <w:p w14:paraId="3B9038B9" w14:textId="77777777" w:rsidR="0050193C" w:rsidRDefault="0050193C" w:rsidP="008A2D7E"/>
    <w:p w14:paraId="4AD295CB" w14:textId="77777777" w:rsidR="0050193C" w:rsidRDefault="0050193C" w:rsidP="008A2D7E"/>
    <w:p w14:paraId="0D0D1BD8" w14:textId="77777777" w:rsidR="0050193C" w:rsidRDefault="0050193C" w:rsidP="008A2D7E"/>
  </w:endnote>
  <w:endnote w:type="continuationNotice" w:id="1">
    <w:p w14:paraId="6E091AD3" w14:textId="77777777" w:rsidR="00026433" w:rsidRDefault="00026433" w:rsidP="00A33515"/>
    <w:p w14:paraId="5AC1293A" w14:textId="77777777" w:rsidR="004A46E7" w:rsidRDefault="004A46E7"/>
    <w:p w14:paraId="390FD1AC" w14:textId="77777777" w:rsidR="004A46E7" w:rsidRDefault="004A46E7" w:rsidP="00800F5A"/>
    <w:p w14:paraId="07880EB8" w14:textId="77777777" w:rsidR="004A46E7" w:rsidRDefault="004A46E7" w:rsidP="00800F5A"/>
    <w:p w14:paraId="3AD93AF4" w14:textId="77777777" w:rsidR="001152A4" w:rsidRDefault="001152A4"/>
    <w:p w14:paraId="7855B88F" w14:textId="77777777" w:rsidR="001152A4" w:rsidRDefault="001152A4" w:rsidP="00CE39A8"/>
    <w:p w14:paraId="3DD9E8E8" w14:textId="77777777" w:rsidR="001152A4" w:rsidRDefault="001152A4" w:rsidP="005C39A1"/>
    <w:p w14:paraId="68BCBEF2" w14:textId="77777777" w:rsidR="0050193C" w:rsidRDefault="0050193C"/>
    <w:p w14:paraId="18E7BDD7" w14:textId="77777777" w:rsidR="0050193C" w:rsidRDefault="0050193C" w:rsidP="008A2D7E"/>
    <w:p w14:paraId="6FEFC407" w14:textId="77777777" w:rsidR="0050193C" w:rsidRDefault="0050193C" w:rsidP="008A2D7E"/>
    <w:p w14:paraId="3B066A88" w14:textId="77777777" w:rsidR="0050193C" w:rsidRDefault="0050193C" w:rsidP="008A2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2271" w14:textId="77777777" w:rsidR="00F33DB7" w:rsidRDefault="00F33DB7" w:rsidP="00A33515">
    <w:pPr>
      <w:pStyle w:val="Footer"/>
    </w:pPr>
  </w:p>
  <w:p w14:paraId="5A5B1554" w14:textId="77777777" w:rsidR="002A372D" w:rsidRDefault="002A372D" w:rsidP="00A33515"/>
  <w:p w14:paraId="1D5F9A82" w14:textId="77777777" w:rsidR="004A46E7" w:rsidRDefault="004A46E7"/>
  <w:p w14:paraId="072535CE" w14:textId="77777777" w:rsidR="004A46E7" w:rsidRDefault="004A46E7" w:rsidP="00800F5A"/>
  <w:p w14:paraId="000AD5F6" w14:textId="77777777" w:rsidR="004A46E7" w:rsidRDefault="004A46E7" w:rsidP="00800F5A"/>
  <w:p w14:paraId="06AAC58F" w14:textId="77777777" w:rsidR="001152A4" w:rsidRDefault="001152A4"/>
  <w:p w14:paraId="0D3042C5" w14:textId="77777777" w:rsidR="001152A4" w:rsidRDefault="001152A4" w:rsidP="00CE39A8"/>
  <w:p w14:paraId="67DA8CB7" w14:textId="77777777" w:rsidR="001152A4" w:rsidRDefault="001152A4" w:rsidP="005C39A1"/>
  <w:p w14:paraId="1ADA9B27" w14:textId="77777777" w:rsidR="0050193C" w:rsidRDefault="0050193C"/>
  <w:p w14:paraId="2529BBE6" w14:textId="77777777" w:rsidR="0050193C" w:rsidRDefault="0050193C" w:rsidP="008A2D7E"/>
  <w:p w14:paraId="424E250D" w14:textId="77777777" w:rsidR="0050193C" w:rsidRDefault="0050193C" w:rsidP="008A2D7E"/>
  <w:p w14:paraId="5F181212" w14:textId="77777777" w:rsidR="0050193C" w:rsidRDefault="0050193C" w:rsidP="008A2D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224750"/>
      <w:docPartObj>
        <w:docPartGallery w:val="Page Numbers (Bottom of Page)"/>
        <w:docPartUnique/>
      </w:docPartObj>
    </w:sdtPr>
    <w:sdtEndPr>
      <w:rPr>
        <w:noProof/>
      </w:rPr>
    </w:sdtEndPr>
    <w:sdtContent>
      <w:p w14:paraId="5C8B0F38" w14:textId="00A6DF27" w:rsidR="0050193C" w:rsidRDefault="00947B5A" w:rsidP="008A2D7E">
        <w:pPr>
          <w:pStyle w:val="Footer"/>
          <w:jc w:val="center"/>
        </w:pPr>
        <w:r>
          <w:fldChar w:fldCharType="begin"/>
        </w:r>
        <w:r>
          <w:instrText xml:space="preserve"> PAGE   \* MERGEFORMAT </w:instrText>
        </w:r>
        <w:r>
          <w:fldChar w:fldCharType="separate"/>
        </w:r>
        <w:r w:rsidR="00D05EA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D449" w14:textId="77777777" w:rsidR="00026433" w:rsidRDefault="00026433" w:rsidP="00A33515">
      <w:r>
        <w:separator/>
      </w:r>
    </w:p>
    <w:p w14:paraId="5BDBBEC6" w14:textId="77777777" w:rsidR="00026433" w:rsidRDefault="00026433" w:rsidP="00A33515"/>
    <w:p w14:paraId="18328BFF" w14:textId="77777777" w:rsidR="00026433" w:rsidRDefault="00026433" w:rsidP="00A33515"/>
    <w:p w14:paraId="663175D9" w14:textId="77777777" w:rsidR="00026433" w:rsidRDefault="00026433" w:rsidP="00A33515"/>
    <w:p w14:paraId="1282F93A" w14:textId="77777777" w:rsidR="00026433" w:rsidRDefault="00026433" w:rsidP="00A33515"/>
    <w:p w14:paraId="459FCF0E" w14:textId="77777777" w:rsidR="00026433" w:rsidRDefault="00026433" w:rsidP="00A33515"/>
    <w:p w14:paraId="1ED733A4" w14:textId="77777777" w:rsidR="00026433" w:rsidRDefault="00026433" w:rsidP="00A33515"/>
    <w:p w14:paraId="40E4CF1A" w14:textId="77777777" w:rsidR="00026433" w:rsidRDefault="00026433" w:rsidP="00A33515"/>
    <w:p w14:paraId="24E9FEF3" w14:textId="77777777" w:rsidR="00026433" w:rsidRDefault="00026433" w:rsidP="00A33515"/>
    <w:p w14:paraId="3FE67656" w14:textId="77777777" w:rsidR="00026433" w:rsidRDefault="00026433" w:rsidP="00A33515"/>
    <w:p w14:paraId="075694B7" w14:textId="77777777" w:rsidR="00026433" w:rsidRDefault="00026433" w:rsidP="00A33515"/>
    <w:p w14:paraId="1F93F14C" w14:textId="77777777" w:rsidR="00026433" w:rsidRDefault="00026433" w:rsidP="00A33515"/>
    <w:p w14:paraId="099CA8A9" w14:textId="77777777" w:rsidR="00026433" w:rsidRDefault="00026433" w:rsidP="00A33515"/>
    <w:p w14:paraId="52937EFB" w14:textId="77777777" w:rsidR="004A46E7" w:rsidRDefault="004A46E7"/>
    <w:p w14:paraId="1C67AC81" w14:textId="77777777" w:rsidR="004A46E7" w:rsidRDefault="004A46E7" w:rsidP="00800F5A"/>
    <w:p w14:paraId="65173E1B" w14:textId="77777777" w:rsidR="004A46E7" w:rsidRDefault="004A46E7" w:rsidP="00800F5A"/>
    <w:p w14:paraId="0F284FFC" w14:textId="77777777" w:rsidR="001152A4" w:rsidRDefault="001152A4"/>
    <w:p w14:paraId="674D97CA" w14:textId="77777777" w:rsidR="001152A4" w:rsidRDefault="001152A4" w:rsidP="00CE39A8"/>
    <w:p w14:paraId="14C9B4EE" w14:textId="77777777" w:rsidR="001152A4" w:rsidRDefault="001152A4" w:rsidP="005C39A1"/>
    <w:p w14:paraId="73359537" w14:textId="77777777" w:rsidR="0050193C" w:rsidRDefault="0050193C"/>
    <w:p w14:paraId="5ADEB3F2" w14:textId="77777777" w:rsidR="0050193C" w:rsidRDefault="0050193C" w:rsidP="008A2D7E"/>
    <w:p w14:paraId="34256669" w14:textId="77777777" w:rsidR="0050193C" w:rsidRDefault="0050193C" w:rsidP="008A2D7E"/>
    <w:p w14:paraId="23518F44" w14:textId="77777777" w:rsidR="0050193C" w:rsidRDefault="0050193C" w:rsidP="008A2D7E"/>
  </w:footnote>
  <w:footnote w:type="continuationSeparator" w:id="0">
    <w:p w14:paraId="2826DB7B" w14:textId="77777777" w:rsidR="00026433" w:rsidRDefault="00026433" w:rsidP="00A33515">
      <w:r>
        <w:continuationSeparator/>
      </w:r>
    </w:p>
    <w:p w14:paraId="75BEBC65" w14:textId="77777777" w:rsidR="00026433" w:rsidRDefault="00026433" w:rsidP="00A33515"/>
    <w:p w14:paraId="314E702B" w14:textId="77777777" w:rsidR="00026433" w:rsidRDefault="00026433" w:rsidP="00A33515"/>
    <w:p w14:paraId="2931F6AB" w14:textId="77777777" w:rsidR="00026433" w:rsidRDefault="00026433" w:rsidP="00A33515"/>
    <w:p w14:paraId="7CD0B7D0" w14:textId="77777777" w:rsidR="00026433" w:rsidRDefault="00026433" w:rsidP="00A33515"/>
    <w:p w14:paraId="6E28A184" w14:textId="77777777" w:rsidR="00026433" w:rsidRDefault="00026433" w:rsidP="00A33515"/>
    <w:p w14:paraId="27C94801" w14:textId="77777777" w:rsidR="00026433" w:rsidRDefault="00026433" w:rsidP="00A33515"/>
    <w:p w14:paraId="6FDC1C5C" w14:textId="77777777" w:rsidR="00026433" w:rsidRDefault="00026433" w:rsidP="00A33515"/>
    <w:p w14:paraId="6A38F8FE" w14:textId="77777777" w:rsidR="00026433" w:rsidRDefault="00026433" w:rsidP="00A33515"/>
    <w:p w14:paraId="26B526FB" w14:textId="77777777" w:rsidR="00026433" w:rsidRDefault="00026433" w:rsidP="00A33515"/>
    <w:p w14:paraId="0EA52495" w14:textId="77777777" w:rsidR="00026433" w:rsidRDefault="00026433" w:rsidP="00A33515"/>
    <w:p w14:paraId="707920D9" w14:textId="77777777" w:rsidR="00026433" w:rsidRDefault="00026433" w:rsidP="00A33515"/>
    <w:p w14:paraId="71EE11ED" w14:textId="77777777" w:rsidR="00026433" w:rsidRDefault="00026433" w:rsidP="00A33515"/>
    <w:p w14:paraId="7CC05CE9" w14:textId="77777777" w:rsidR="004A46E7" w:rsidRDefault="004A46E7"/>
    <w:p w14:paraId="57DD5781" w14:textId="77777777" w:rsidR="004A46E7" w:rsidRDefault="004A46E7" w:rsidP="00800F5A"/>
    <w:p w14:paraId="64BB104C" w14:textId="77777777" w:rsidR="004A46E7" w:rsidRDefault="004A46E7" w:rsidP="00800F5A"/>
    <w:p w14:paraId="24EC410A" w14:textId="77777777" w:rsidR="001152A4" w:rsidRDefault="001152A4"/>
    <w:p w14:paraId="1DDBB759" w14:textId="77777777" w:rsidR="001152A4" w:rsidRDefault="001152A4" w:rsidP="00CE39A8"/>
    <w:p w14:paraId="17F30BFC" w14:textId="77777777" w:rsidR="001152A4" w:rsidRDefault="001152A4" w:rsidP="005C39A1"/>
    <w:p w14:paraId="435D6396" w14:textId="77777777" w:rsidR="0050193C" w:rsidRDefault="0050193C"/>
    <w:p w14:paraId="6E907D9E" w14:textId="77777777" w:rsidR="0050193C" w:rsidRDefault="0050193C" w:rsidP="008A2D7E"/>
    <w:p w14:paraId="34583D67" w14:textId="77777777" w:rsidR="0050193C" w:rsidRDefault="0050193C" w:rsidP="008A2D7E"/>
    <w:p w14:paraId="3F74E8F2" w14:textId="77777777" w:rsidR="0050193C" w:rsidRDefault="0050193C" w:rsidP="008A2D7E"/>
  </w:footnote>
  <w:footnote w:type="continuationNotice" w:id="1">
    <w:p w14:paraId="7A8F09CC" w14:textId="77777777" w:rsidR="00026433" w:rsidRDefault="00026433" w:rsidP="00A33515"/>
    <w:p w14:paraId="19B49865" w14:textId="77777777" w:rsidR="004A46E7" w:rsidRDefault="004A46E7"/>
    <w:p w14:paraId="2FC84ECA" w14:textId="77777777" w:rsidR="004A46E7" w:rsidRDefault="004A46E7" w:rsidP="00800F5A"/>
    <w:p w14:paraId="0DEF74F9" w14:textId="77777777" w:rsidR="004A46E7" w:rsidRDefault="004A46E7" w:rsidP="00800F5A"/>
    <w:p w14:paraId="119B7B52" w14:textId="77777777" w:rsidR="001152A4" w:rsidRDefault="001152A4"/>
    <w:p w14:paraId="194A4FE8" w14:textId="77777777" w:rsidR="001152A4" w:rsidRDefault="001152A4" w:rsidP="00CE39A8"/>
    <w:p w14:paraId="5BEF8DCF" w14:textId="77777777" w:rsidR="001152A4" w:rsidRDefault="001152A4" w:rsidP="005C39A1"/>
    <w:p w14:paraId="77F6263A" w14:textId="77777777" w:rsidR="0050193C" w:rsidRDefault="0050193C"/>
    <w:p w14:paraId="799677CA" w14:textId="77777777" w:rsidR="0050193C" w:rsidRDefault="0050193C" w:rsidP="008A2D7E"/>
    <w:p w14:paraId="34A047DD" w14:textId="77777777" w:rsidR="0050193C" w:rsidRDefault="0050193C" w:rsidP="008A2D7E"/>
    <w:p w14:paraId="302E5817" w14:textId="77777777" w:rsidR="0050193C" w:rsidRDefault="0050193C" w:rsidP="008A2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CF03" w14:textId="77777777" w:rsidR="00F33DB7" w:rsidRDefault="00F33DB7" w:rsidP="00A33515">
    <w:pPr>
      <w:pStyle w:val="Header"/>
    </w:pPr>
  </w:p>
  <w:p w14:paraId="6A2A6FBE" w14:textId="77777777" w:rsidR="002A372D" w:rsidRDefault="002A372D" w:rsidP="00A33515"/>
  <w:p w14:paraId="1B204BC6" w14:textId="77777777" w:rsidR="004A46E7" w:rsidRDefault="004A46E7"/>
  <w:p w14:paraId="34B354D1" w14:textId="77777777" w:rsidR="004A46E7" w:rsidRDefault="004A46E7" w:rsidP="00800F5A"/>
  <w:p w14:paraId="469C102E" w14:textId="77777777" w:rsidR="004A46E7" w:rsidRDefault="004A46E7" w:rsidP="00800F5A"/>
  <w:p w14:paraId="0538F6A1" w14:textId="77777777" w:rsidR="001152A4" w:rsidRDefault="001152A4"/>
  <w:p w14:paraId="721272EB" w14:textId="77777777" w:rsidR="001152A4" w:rsidRDefault="001152A4" w:rsidP="00CE39A8"/>
  <w:p w14:paraId="53994B4D" w14:textId="77777777" w:rsidR="001152A4" w:rsidRDefault="001152A4" w:rsidP="005C39A1"/>
  <w:p w14:paraId="7B951F66" w14:textId="77777777" w:rsidR="0050193C" w:rsidRDefault="0050193C"/>
  <w:p w14:paraId="3A7482AA" w14:textId="77777777" w:rsidR="0050193C" w:rsidRDefault="0050193C" w:rsidP="008A2D7E"/>
  <w:p w14:paraId="563985DF" w14:textId="77777777" w:rsidR="0050193C" w:rsidRDefault="0050193C" w:rsidP="008A2D7E"/>
  <w:p w14:paraId="03EE839A" w14:textId="77777777" w:rsidR="0050193C" w:rsidRDefault="0050193C" w:rsidP="008A2D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4FE2" w14:textId="17CBCDE7" w:rsidR="0050193C" w:rsidRDefault="008A2D7E" w:rsidP="008A2D7E">
    <w:pPr>
      <w:pStyle w:val="Header"/>
    </w:pPr>
    <w:r w:rsidRPr="008A2D7E">
      <w:rPr>
        <w:i w:val="0"/>
        <w:iCs/>
        <w:sz w:val="22"/>
        <w:szCs w:val="22"/>
      </w:rPr>
      <w:t>Local Independent Arts Engagement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5E66"/>
    <w:multiLevelType w:val="hybridMultilevel"/>
    <w:tmpl w:val="4D4A7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41688"/>
    <w:multiLevelType w:val="hybridMultilevel"/>
    <w:tmpl w:val="09C06086"/>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3B3721"/>
    <w:multiLevelType w:val="hybridMultilevel"/>
    <w:tmpl w:val="5F469F4C"/>
    <w:lvl w:ilvl="0" w:tplc="0C090017">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4DD7211"/>
    <w:multiLevelType w:val="hybridMultilevel"/>
    <w:tmpl w:val="6AC0B3B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B871CA"/>
    <w:multiLevelType w:val="hybridMultilevel"/>
    <w:tmpl w:val="6D167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E743AF"/>
    <w:multiLevelType w:val="hybridMultilevel"/>
    <w:tmpl w:val="C49645C2"/>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4010F96"/>
    <w:multiLevelType w:val="hybridMultilevel"/>
    <w:tmpl w:val="26BC79D4"/>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D001A5E"/>
    <w:multiLevelType w:val="hybridMultilevel"/>
    <w:tmpl w:val="E256A90C"/>
    <w:lvl w:ilvl="0" w:tplc="D39467B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1827938"/>
    <w:multiLevelType w:val="hybridMultilevel"/>
    <w:tmpl w:val="44D2B4D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8222371"/>
    <w:multiLevelType w:val="hybridMultilevel"/>
    <w:tmpl w:val="D13EE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A591E43"/>
    <w:multiLevelType w:val="singleLevel"/>
    <w:tmpl w:val="35F2CC76"/>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7625440B"/>
    <w:multiLevelType w:val="hybridMultilevel"/>
    <w:tmpl w:val="413C0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1182529">
    <w:abstractNumId w:val="2"/>
  </w:num>
  <w:num w:numId="2" w16cid:durableId="1363046899">
    <w:abstractNumId w:val="3"/>
  </w:num>
  <w:num w:numId="3" w16cid:durableId="1672027980">
    <w:abstractNumId w:val="1"/>
  </w:num>
  <w:num w:numId="4" w16cid:durableId="1078329595">
    <w:abstractNumId w:val="5"/>
  </w:num>
  <w:num w:numId="5" w16cid:durableId="1159616095">
    <w:abstractNumId w:val="8"/>
  </w:num>
  <w:num w:numId="6" w16cid:durableId="408425601">
    <w:abstractNumId w:val="9"/>
  </w:num>
  <w:num w:numId="7" w16cid:durableId="238295466">
    <w:abstractNumId w:val="11"/>
  </w:num>
  <w:num w:numId="8" w16cid:durableId="1336300552">
    <w:abstractNumId w:val="6"/>
  </w:num>
  <w:num w:numId="9" w16cid:durableId="608120683">
    <w:abstractNumId w:val="10"/>
  </w:num>
  <w:num w:numId="10" w16cid:durableId="1301765466">
    <w:abstractNumId w:val="4"/>
  </w:num>
  <w:num w:numId="11" w16cid:durableId="2034455757">
    <w:abstractNumId w:val="0"/>
  </w:num>
  <w:num w:numId="12" w16cid:durableId="2010912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5A"/>
    <w:rsid w:val="00026433"/>
    <w:rsid w:val="000740A3"/>
    <w:rsid w:val="000A57B5"/>
    <w:rsid w:val="001152A4"/>
    <w:rsid w:val="0012557D"/>
    <w:rsid w:val="0025511B"/>
    <w:rsid w:val="0027188D"/>
    <w:rsid w:val="0027496A"/>
    <w:rsid w:val="0027600B"/>
    <w:rsid w:val="002A372D"/>
    <w:rsid w:val="002B14AB"/>
    <w:rsid w:val="002B392F"/>
    <w:rsid w:val="002D4075"/>
    <w:rsid w:val="00315734"/>
    <w:rsid w:val="003440AE"/>
    <w:rsid w:val="00474FEE"/>
    <w:rsid w:val="004956F3"/>
    <w:rsid w:val="004A46E7"/>
    <w:rsid w:val="004F34A1"/>
    <w:rsid w:val="0050193C"/>
    <w:rsid w:val="0050662C"/>
    <w:rsid w:val="00532300"/>
    <w:rsid w:val="00542972"/>
    <w:rsid w:val="00592B35"/>
    <w:rsid w:val="005C39A1"/>
    <w:rsid w:val="006315E0"/>
    <w:rsid w:val="00662CAD"/>
    <w:rsid w:val="00686BBC"/>
    <w:rsid w:val="0069187E"/>
    <w:rsid w:val="006B0781"/>
    <w:rsid w:val="006E0C53"/>
    <w:rsid w:val="006E3913"/>
    <w:rsid w:val="006F1EEF"/>
    <w:rsid w:val="0070217D"/>
    <w:rsid w:val="00706594"/>
    <w:rsid w:val="007134C7"/>
    <w:rsid w:val="00753215"/>
    <w:rsid w:val="00770E78"/>
    <w:rsid w:val="007D40EA"/>
    <w:rsid w:val="00800F5A"/>
    <w:rsid w:val="00803B4F"/>
    <w:rsid w:val="00820501"/>
    <w:rsid w:val="00836435"/>
    <w:rsid w:val="00850F30"/>
    <w:rsid w:val="00881109"/>
    <w:rsid w:val="008A2D7E"/>
    <w:rsid w:val="00920BFC"/>
    <w:rsid w:val="00947B5A"/>
    <w:rsid w:val="00A161BA"/>
    <w:rsid w:val="00A33515"/>
    <w:rsid w:val="00A46467"/>
    <w:rsid w:val="00A4773B"/>
    <w:rsid w:val="00A70FEF"/>
    <w:rsid w:val="00A92DD6"/>
    <w:rsid w:val="00AC3A87"/>
    <w:rsid w:val="00B03A47"/>
    <w:rsid w:val="00B41AF0"/>
    <w:rsid w:val="00B43A44"/>
    <w:rsid w:val="00B8275A"/>
    <w:rsid w:val="00BD3970"/>
    <w:rsid w:val="00C35FF6"/>
    <w:rsid w:val="00C44C22"/>
    <w:rsid w:val="00C463B1"/>
    <w:rsid w:val="00C54C49"/>
    <w:rsid w:val="00C76492"/>
    <w:rsid w:val="00C850C9"/>
    <w:rsid w:val="00CA411A"/>
    <w:rsid w:val="00CB11CE"/>
    <w:rsid w:val="00CE2643"/>
    <w:rsid w:val="00CE39A8"/>
    <w:rsid w:val="00D05EAC"/>
    <w:rsid w:val="00D6488F"/>
    <w:rsid w:val="00D956FD"/>
    <w:rsid w:val="00DB4DE7"/>
    <w:rsid w:val="00E222D7"/>
    <w:rsid w:val="00E82EA8"/>
    <w:rsid w:val="00EB61BA"/>
    <w:rsid w:val="00EF6A97"/>
    <w:rsid w:val="00F33DB7"/>
    <w:rsid w:val="00F54BCF"/>
    <w:rsid w:val="00F57650"/>
    <w:rsid w:val="00F7571E"/>
    <w:rsid w:val="00FB34AD"/>
    <w:rsid w:val="00FB50C3"/>
    <w:rsid w:val="00FB79BD"/>
    <w:rsid w:val="00FE70FC"/>
    <w:rsid w:val="00FF02A8"/>
    <w:rsid w:val="00FF21A8"/>
    <w:rsid w:val="00FF7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EFCBE2"/>
  <w15:chartTrackingRefBased/>
  <w15:docId w15:val="{5B460157-421F-470A-834F-57E57C43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33515"/>
    <w:pPr>
      <w:spacing w:before="100" w:beforeAutospacing="1" w:after="0" w:afterAutospacing="1" w:line="240" w:lineRule="auto"/>
    </w:pPr>
    <w:rPr>
      <w:rFonts w:ascii="Calibri" w:eastAsia="Times New Roman" w:hAnsi="Calibri" w:cs="Arial"/>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B5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47B5A"/>
    <w:rPr>
      <w:rFonts w:cs="Times New Roman"/>
      <w:color w:val="0000FF"/>
      <w:u w:val="single"/>
    </w:rPr>
  </w:style>
  <w:style w:type="paragraph" w:customStyle="1" w:styleId="TRONormal">
    <w:name w:val="TRO Normal"/>
    <w:basedOn w:val="Normal"/>
    <w:link w:val="TRONormalChar"/>
    <w:uiPriority w:val="99"/>
    <w:rsid w:val="00947B5A"/>
    <w:pPr>
      <w:autoSpaceDE w:val="0"/>
      <w:autoSpaceDN w:val="0"/>
      <w:adjustRightInd w:val="0"/>
      <w:spacing w:before="0" w:beforeAutospacing="0" w:afterAutospacing="0"/>
    </w:pPr>
    <w:rPr>
      <w:rFonts w:asciiTheme="minorHAnsi" w:hAnsiTheme="minorHAnsi" w:cs="Times New Roman"/>
    </w:rPr>
  </w:style>
  <w:style w:type="character" w:customStyle="1" w:styleId="TRONormalChar">
    <w:name w:val="TRO Normal Char"/>
    <w:link w:val="TRONormal"/>
    <w:uiPriority w:val="99"/>
    <w:locked/>
    <w:rsid w:val="00947B5A"/>
    <w:rPr>
      <w:rFonts w:eastAsia="Times New Roman" w:cs="Times New Roman"/>
      <w:sz w:val="24"/>
      <w:szCs w:val="24"/>
      <w:lang w:eastAsia="en-AU"/>
    </w:rPr>
  </w:style>
  <w:style w:type="paragraph" w:styleId="Header">
    <w:name w:val="header"/>
    <w:basedOn w:val="Normal"/>
    <w:link w:val="HeaderChar"/>
    <w:unhideWhenUsed/>
    <w:rsid w:val="00F33DB7"/>
    <w:pPr>
      <w:tabs>
        <w:tab w:val="center" w:pos="4513"/>
        <w:tab w:val="right" w:pos="9026"/>
      </w:tabs>
      <w:spacing w:before="0"/>
      <w:jc w:val="right"/>
    </w:pPr>
    <w:rPr>
      <w:i/>
    </w:rPr>
  </w:style>
  <w:style w:type="character" w:customStyle="1" w:styleId="HeaderChar">
    <w:name w:val="Header Char"/>
    <w:basedOn w:val="DefaultParagraphFont"/>
    <w:link w:val="Header"/>
    <w:rsid w:val="00F33DB7"/>
    <w:rPr>
      <w:rFonts w:ascii="Calibri" w:eastAsia="Times New Roman" w:hAnsi="Calibri" w:cs="Arial"/>
      <w:i/>
      <w:sz w:val="24"/>
      <w:szCs w:val="24"/>
      <w:lang w:eastAsia="en-AU"/>
    </w:rPr>
  </w:style>
  <w:style w:type="paragraph" w:styleId="Footer">
    <w:name w:val="footer"/>
    <w:basedOn w:val="Normal"/>
    <w:link w:val="FooterChar"/>
    <w:uiPriority w:val="99"/>
    <w:unhideWhenUsed/>
    <w:rsid w:val="00947B5A"/>
    <w:pPr>
      <w:tabs>
        <w:tab w:val="center" w:pos="4513"/>
        <w:tab w:val="right" w:pos="9026"/>
      </w:tabs>
      <w:spacing w:before="0"/>
    </w:pPr>
  </w:style>
  <w:style w:type="character" w:customStyle="1" w:styleId="FooterChar">
    <w:name w:val="Footer Char"/>
    <w:basedOn w:val="DefaultParagraphFont"/>
    <w:link w:val="Footer"/>
    <w:uiPriority w:val="99"/>
    <w:rsid w:val="00947B5A"/>
    <w:rPr>
      <w:rFonts w:ascii="Calibri" w:eastAsia="Times New Roman" w:hAnsi="Calibri" w:cs="Arial"/>
      <w:sz w:val="24"/>
      <w:szCs w:val="24"/>
      <w:lang w:eastAsia="en-AU"/>
    </w:rPr>
  </w:style>
  <w:style w:type="paragraph" w:styleId="BalloonText">
    <w:name w:val="Balloon Text"/>
    <w:basedOn w:val="Normal"/>
    <w:link w:val="BalloonTextChar"/>
    <w:uiPriority w:val="99"/>
    <w:semiHidden/>
    <w:unhideWhenUsed/>
    <w:rsid w:val="002B14A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AB"/>
    <w:rPr>
      <w:rFonts w:ascii="Segoe UI" w:eastAsia="Times New Roman" w:hAnsi="Segoe UI" w:cs="Segoe UI"/>
      <w:sz w:val="18"/>
      <w:szCs w:val="18"/>
      <w:lang w:eastAsia="en-AU"/>
    </w:rPr>
  </w:style>
  <w:style w:type="character" w:styleId="PlaceholderText">
    <w:name w:val="Placeholder Text"/>
    <w:basedOn w:val="DefaultParagraphFont"/>
    <w:uiPriority w:val="99"/>
    <w:semiHidden/>
    <w:rsid w:val="00BD3970"/>
    <w:rPr>
      <w:color w:val="808080"/>
    </w:rPr>
  </w:style>
  <w:style w:type="paragraph" w:styleId="ListParagraph">
    <w:name w:val="List Paragraph"/>
    <w:basedOn w:val="Normal"/>
    <w:uiPriority w:val="34"/>
    <w:qFormat/>
    <w:rsid w:val="00EB61BA"/>
    <w:pPr>
      <w:ind w:left="720"/>
      <w:contextualSpacing/>
    </w:pPr>
  </w:style>
  <w:style w:type="paragraph" w:styleId="Title">
    <w:name w:val="Title"/>
    <w:basedOn w:val="Normal"/>
    <w:link w:val="TitleChar"/>
    <w:qFormat/>
    <w:rsid w:val="00D956FD"/>
    <w:pPr>
      <w:spacing w:before="0" w:beforeAutospacing="0" w:afterAutospacing="0"/>
      <w:jc w:val="center"/>
    </w:pPr>
    <w:rPr>
      <w:rFonts w:ascii="Arial" w:hAnsi="Arial"/>
      <w:b/>
      <w:bCs/>
      <w:lang w:val="en-GB" w:eastAsia="en-US"/>
    </w:rPr>
  </w:style>
  <w:style w:type="character" w:customStyle="1" w:styleId="TitleChar">
    <w:name w:val="Title Char"/>
    <w:basedOn w:val="DefaultParagraphFont"/>
    <w:link w:val="Title"/>
    <w:rsid w:val="00D956FD"/>
    <w:rPr>
      <w:rFonts w:ascii="Arial" w:eastAsia="Times New Roman" w:hAnsi="Arial" w:cs="Arial"/>
      <w:b/>
      <w:bCs/>
      <w:sz w:val="24"/>
      <w:szCs w:val="24"/>
      <w:lang w:val="en-GB"/>
    </w:rPr>
  </w:style>
  <w:style w:type="paragraph" w:styleId="Revision">
    <w:name w:val="Revision"/>
    <w:hidden/>
    <w:uiPriority w:val="99"/>
    <w:semiHidden/>
    <w:rsid w:val="0070217D"/>
    <w:pPr>
      <w:spacing w:after="0" w:line="240" w:lineRule="auto"/>
    </w:pPr>
    <w:rPr>
      <w:rFonts w:ascii="Calibri" w:eastAsia="Times New Roman" w:hAnsi="Calibri" w:cs="Arial"/>
      <w:sz w:val="24"/>
      <w:szCs w:val="24"/>
      <w:lang w:eastAsia="en-AU"/>
    </w:rPr>
  </w:style>
  <w:style w:type="paragraph" w:styleId="NoSpacing">
    <w:name w:val="No Spacing"/>
    <w:uiPriority w:val="1"/>
    <w:qFormat/>
    <w:rsid w:val="008A2D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630421">
      <w:bodyDiv w:val="1"/>
      <w:marLeft w:val="0"/>
      <w:marRight w:val="0"/>
      <w:marTop w:val="0"/>
      <w:marBottom w:val="0"/>
      <w:divBdr>
        <w:top w:val="none" w:sz="0" w:space="0" w:color="auto"/>
        <w:left w:val="none" w:sz="0" w:space="0" w:color="auto"/>
        <w:bottom w:val="none" w:sz="0" w:space="0" w:color="auto"/>
        <w:right w:val="none" w:sz="0" w:space="0" w:color="auto"/>
      </w:divBdr>
    </w:div>
    <w:div w:id="21373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Furner, Karen</dc:creator>
  <cp:keywords/>
  <dc:description/>
  <cp:lastModifiedBy>Furner, Karen</cp:lastModifiedBy>
  <cp:revision>2</cp:revision>
  <cp:lastPrinted>2019-05-29T00:56:00Z</cp:lastPrinted>
  <dcterms:created xsi:type="dcterms:W3CDTF">2023-07-21T04:08:00Z</dcterms:created>
  <dcterms:modified xsi:type="dcterms:W3CDTF">2023-07-21T04:08:00Z</dcterms:modified>
</cp:coreProperties>
</file>